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57650BB5" w14:textId="4F46001E" w:rsidR="00822265" w:rsidRPr="00D735F9" w:rsidRDefault="00D735F9" w:rsidP="00741DB1">
      <w:pPr>
        <w:jc w:val="center"/>
        <w:rPr>
          <w:rFonts w:ascii="Aptos" w:hAnsi="Aptos"/>
          <w:color w:val="1F497D" w:themeColor="text2"/>
          <w:lang w:val="en-US"/>
        </w:rPr>
      </w:pPr>
      <w:r>
        <w:rPr>
          <w:rFonts w:ascii="Aptos" w:hAnsi="Aptos"/>
          <w:noProof/>
          <w:color w:val="1F497D" w:themeColor="text2"/>
        </w:rPr>
        <w:drawing>
          <wp:anchor distT="0" distB="0" distL="114300" distR="114300" simplePos="0" relativeHeight="251658240" behindDoc="0" locked="0" layoutInCell="1" allowOverlap="1" wp14:anchorId="6005311F" wp14:editId="43A2E8D1">
            <wp:simplePos x="0" y="0"/>
            <wp:positionH relativeFrom="margin">
              <wp:posOffset>6207760</wp:posOffset>
            </wp:positionH>
            <wp:positionV relativeFrom="paragraph">
              <wp:posOffset>-123825</wp:posOffset>
            </wp:positionV>
            <wp:extent cx="514350" cy="514350"/>
            <wp:effectExtent l="0" t="0" r="0" b="0"/>
            <wp:wrapNone/>
            <wp:docPr id="650342582" name="Graphic 1" descr="Naald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342582" name="Graphic 650342582" descr="Naald silhouet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B3EE0F1" w:rsidRPr="00D735F9">
        <w:rPr>
          <w:rFonts w:ascii="Aptos" w:hAnsi="Aptos"/>
          <w:color w:val="1F497D" w:themeColor="text2"/>
          <w:lang w:val="en-US"/>
        </w:rPr>
        <w:t>Key results from Norway</w:t>
      </w:r>
      <w:r w:rsidR="00462B10" w:rsidRPr="00D735F9">
        <w:rPr>
          <w:rFonts w:ascii="Aptos" w:hAnsi="Aptos"/>
          <w:color w:val="1F497D" w:themeColor="text2"/>
          <w:lang w:val="en-US"/>
        </w:rPr>
        <w:t xml:space="preserve"> – </w:t>
      </w:r>
      <w:r w:rsidR="00A3361A">
        <w:rPr>
          <w:rFonts w:ascii="Aptos" w:hAnsi="Aptos"/>
          <w:color w:val="1F497D" w:themeColor="text2"/>
          <w:lang w:val="en-US"/>
        </w:rPr>
        <w:t xml:space="preserve">Darwin EU® </w:t>
      </w:r>
      <w:r w:rsidR="00462B10" w:rsidRPr="00D735F9">
        <w:rPr>
          <w:rFonts w:ascii="Aptos" w:hAnsi="Aptos"/>
          <w:color w:val="1F497D" w:themeColor="text2"/>
          <w:lang w:val="en-US"/>
        </w:rPr>
        <w:t>P</w:t>
      </w:r>
      <w:r w:rsidR="00AB7ADF">
        <w:rPr>
          <w:rFonts w:ascii="Aptos" w:hAnsi="Aptos"/>
          <w:color w:val="1F497D" w:themeColor="text2"/>
          <w:lang w:val="en-US"/>
        </w:rPr>
        <w:t>4-C1-016</w:t>
      </w:r>
    </w:p>
    <w:p w14:paraId="5F132D61" w14:textId="7BFC2704" w:rsidR="00C7397A" w:rsidRPr="009814CA" w:rsidRDefault="00AB7ADF" w:rsidP="00741DB1">
      <w:pPr>
        <w:jc w:val="center"/>
        <w:rPr>
          <w:rFonts w:ascii="Aptos" w:hAnsi="Aptos"/>
          <w:b/>
          <w:bCs/>
          <w:color w:val="1F497D" w:themeColor="text2"/>
          <w:sz w:val="36"/>
          <w:szCs w:val="36"/>
          <w:lang w:val="en-US"/>
        </w:rPr>
      </w:pPr>
      <w:r>
        <w:rPr>
          <w:rFonts w:ascii="Aptos" w:hAnsi="Aptos"/>
          <w:b/>
          <w:bCs/>
          <w:color w:val="1F497D" w:themeColor="text2"/>
          <w:sz w:val="36"/>
          <w:szCs w:val="36"/>
          <w:lang w:val="en-US"/>
        </w:rPr>
        <w:t xml:space="preserve">Annual </w:t>
      </w:r>
      <w:r w:rsidR="00AF7C17">
        <w:rPr>
          <w:rFonts w:ascii="Aptos" w:hAnsi="Aptos"/>
          <w:b/>
          <w:bCs/>
          <w:color w:val="1F497D" w:themeColor="text2"/>
          <w:sz w:val="36"/>
          <w:szCs w:val="36"/>
          <w:lang w:val="en-US"/>
        </w:rPr>
        <w:t>seasonal influenza</w:t>
      </w:r>
      <w:r w:rsidR="00C7397A" w:rsidRPr="009814CA">
        <w:rPr>
          <w:rFonts w:ascii="Aptos" w:hAnsi="Aptos"/>
          <w:b/>
          <w:bCs/>
          <w:color w:val="1F497D" w:themeColor="text2"/>
          <w:sz w:val="36"/>
          <w:szCs w:val="36"/>
          <w:lang w:val="en-US"/>
        </w:rPr>
        <w:t xml:space="preserve"> </w:t>
      </w:r>
      <w:r w:rsidR="00AF7C17">
        <w:rPr>
          <w:rFonts w:ascii="Aptos" w:hAnsi="Aptos"/>
          <w:b/>
          <w:bCs/>
          <w:color w:val="1F497D" w:themeColor="text2"/>
          <w:sz w:val="36"/>
          <w:szCs w:val="36"/>
          <w:lang w:val="en-US"/>
        </w:rPr>
        <w:t>v</w:t>
      </w:r>
      <w:r w:rsidR="00C7397A" w:rsidRPr="009814CA">
        <w:rPr>
          <w:rFonts w:ascii="Aptos" w:hAnsi="Aptos"/>
          <w:b/>
          <w:bCs/>
          <w:color w:val="1F497D" w:themeColor="text2"/>
          <w:sz w:val="36"/>
          <w:szCs w:val="36"/>
          <w:lang w:val="en-US"/>
        </w:rPr>
        <w:t xml:space="preserve">accine </w:t>
      </w:r>
      <w:r w:rsidR="00AF7C17">
        <w:rPr>
          <w:rFonts w:ascii="Aptos" w:hAnsi="Aptos"/>
          <w:b/>
          <w:bCs/>
          <w:color w:val="1F497D" w:themeColor="text2"/>
          <w:sz w:val="36"/>
          <w:szCs w:val="36"/>
          <w:lang w:val="en-US"/>
        </w:rPr>
        <w:t>e</w:t>
      </w:r>
      <w:r w:rsidR="00C7397A" w:rsidRPr="009814CA">
        <w:rPr>
          <w:rFonts w:ascii="Aptos" w:hAnsi="Aptos"/>
          <w:b/>
          <w:bCs/>
          <w:color w:val="1F497D" w:themeColor="text2"/>
          <w:sz w:val="36"/>
          <w:szCs w:val="36"/>
          <w:lang w:val="en-US"/>
        </w:rPr>
        <w:t>ffectiveness</w:t>
      </w:r>
    </w:p>
    <w:p w14:paraId="3C220FAC" w14:textId="4CFE9E0D" w:rsidR="00C7397A" w:rsidRDefault="00C7397A" w:rsidP="00C7397A">
      <w:pPr>
        <w:rPr>
          <w:rFonts w:ascii="Aptos" w:hAnsi="Aptos"/>
          <w:lang w:val="en-US"/>
        </w:rPr>
      </w:pPr>
    </w:p>
    <w:p w14:paraId="1C8A88CE" w14:textId="28BFAD6F" w:rsidR="00C7397A" w:rsidRDefault="001B1BCF" w:rsidP="00981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Aptos" w:hAnsi="Aptos"/>
          <w:lang w:val="en-US"/>
        </w:rPr>
      </w:pPr>
      <w:r>
        <w:rPr>
          <w:rFonts w:ascii="Aptos" w:hAnsi="Aptos"/>
          <w:lang w:val="en-US"/>
        </w:rPr>
        <w:t>Generating robust real-world evidence on influenza vaccine effectiveness (IVE)</w:t>
      </w:r>
      <w:r w:rsidR="00A50100">
        <w:rPr>
          <w:rFonts w:ascii="Aptos" w:hAnsi="Aptos"/>
          <w:lang w:val="en-US"/>
        </w:rPr>
        <w:t xml:space="preserve"> has become a priority at the European Medicines Agency</w:t>
      </w:r>
      <w:r w:rsidR="00C7397A">
        <w:rPr>
          <w:rFonts w:ascii="Aptos" w:hAnsi="Aptos"/>
          <w:lang w:val="en-US"/>
        </w:rPr>
        <w:t xml:space="preserve">. </w:t>
      </w:r>
      <w:r w:rsidR="0015536B" w:rsidRPr="0015536B">
        <w:rPr>
          <w:rFonts w:ascii="Aptos" w:hAnsi="Aptos"/>
          <w:lang w:val="en-US"/>
        </w:rPr>
        <w:t xml:space="preserve">This DARWIN EU® study </w:t>
      </w:r>
      <w:r w:rsidR="00166889">
        <w:rPr>
          <w:rFonts w:ascii="Aptos" w:hAnsi="Aptos"/>
          <w:lang w:val="en-US"/>
        </w:rPr>
        <w:t>aimed to assess the availability, quality</w:t>
      </w:r>
      <w:r w:rsidR="001C585B">
        <w:rPr>
          <w:rFonts w:ascii="Aptos" w:hAnsi="Aptos"/>
          <w:lang w:val="en-US"/>
        </w:rPr>
        <w:t>, and completeness of seasonal influenza-related information to inform potential future IVE studies</w:t>
      </w:r>
      <w:r w:rsidR="0015536B">
        <w:rPr>
          <w:rFonts w:ascii="Aptos" w:hAnsi="Aptos"/>
          <w:lang w:val="en-US"/>
        </w:rPr>
        <w:t>.</w:t>
      </w:r>
    </w:p>
    <w:p w14:paraId="27ED6B2F" w14:textId="77777777" w:rsidR="00462B10" w:rsidRDefault="00462B10" w:rsidP="00C7397A">
      <w:pPr>
        <w:rPr>
          <w:rFonts w:ascii="Aptos" w:hAnsi="Aptos"/>
          <w:lang w:val="en-US"/>
        </w:rPr>
        <w:sectPr w:rsidR="00462B10" w:rsidSect="00741DB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78E1C56" w14:textId="77777777" w:rsidR="00462B10" w:rsidRDefault="00462B10" w:rsidP="00C7397A">
      <w:pPr>
        <w:rPr>
          <w:rFonts w:ascii="Aptos" w:hAnsi="Aptos"/>
          <w:lang w:val="en-US"/>
        </w:rPr>
      </w:pPr>
    </w:p>
    <w:p w14:paraId="5B285F7F" w14:textId="1B2C98B0" w:rsidR="00462B10" w:rsidRPr="009814CA" w:rsidRDefault="00134832" w:rsidP="00C7397A">
      <w:pPr>
        <w:rPr>
          <w:rFonts w:ascii="Aptos" w:hAnsi="Aptos"/>
          <w:b/>
          <w:bCs/>
          <w:color w:val="1F497D" w:themeColor="text2"/>
          <w:lang w:val="en-US"/>
        </w:rPr>
      </w:pPr>
      <w:r w:rsidRPr="009814CA">
        <w:rPr>
          <w:rFonts w:ascii="Aptos" w:hAnsi="Aptos"/>
          <w:b/>
          <w:bCs/>
          <w:color w:val="1F497D" w:themeColor="text2"/>
          <w:lang w:val="en-US"/>
        </w:rPr>
        <w:t>Study overview</w:t>
      </w:r>
    </w:p>
    <w:p w14:paraId="7CFFB905" w14:textId="7B15A679" w:rsidR="00134832" w:rsidRPr="009123AA" w:rsidRDefault="00134832" w:rsidP="009123AA">
      <w:pPr>
        <w:rPr>
          <w:rFonts w:ascii="Aptos" w:hAnsi="Aptos"/>
          <w:lang w:val="en-US"/>
        </w:rPr>
      </w:pPr>
      <w:r w:rsidRPr="009123AA">
        <w:rPr>
          <w:rFonts w:ascii="Aptos" w:hAnsi="Aptos"/>
          <w:b/>
          <w:bCs/>
          <w:lang w:val="en-US"/>
        </w:rPr>
        <w:t>Design:</w:t>
      </w:r>
      <w:r w:rsidRPr="009123AA">
        <w:rPr>
          <w:rFonts w:ascii="Aptos" w:hAnsi="Aptos"/>
          <w:lang w:val="en-US"/>
        </w:rPr>
        <w:t xml:space="preserve"> </w:t>
      </w:r>
      <w:r w:rsidR="002B6107" w:rsidRPr="009123AA">
        <w:rPr>
          <w:rFonts w:ascii="Aptos" w:hAnsi="Aptos"/>
          <w:lang w:val="en-US"/>
        </w:rPr>
        <w:t xml:space="preserve">Population-level cohort study using </w:t>
      </w:r>
      <w:r w:rsidR="00E9449A" w:rsidRPr="009123AA">
        <w:rPr>
          <w:rFonts w:ascii="Aptos" w:hAnsi="Aptos"/>
          <w:lang w:val="en-US"/>
        </w:rPr>
        <w:t>data sources from Croatia</w:t>
      </w:r>
      <w:r w:rsidR="005D5200" w:rsidRPr="009123AA">
        <w:rPr>
          <w:rFonts w:ascii="Aptos" w:hAnsi="Aptos"/>
          <w:lang w:val="en-US"/>
        </w:rPr>
        <w:t>, Denmark, Finland, Norway, Spain, and the UK</w:t>
      </w:r>
      <w:r w:rsidRPr="009123AA">
        <w:rPr>
          <w:rFonts w:ascii="Aptos" w:hAnsi="Aptos"/>
          <w:lang w:val="en-US"/>
        </w:rPr>
        <w:t>.</w:t>
      </w:r>
    </w:p>
    <w:p w14:paraId="06F130FB" w14:textId="27C80A43" w:rsidR="00134832" w:rsidRPr="009123AA" w:rsidRDefault="00134832" w:rsidP="009123AA">
      <w:pPr>
        <w:rPr>
          <w:rFonts w:ascii="Aptos" w:hAnsi="Aptos"/>
          <w:lang w:val="en-US"/>
        </w:rPr>
      </w:pPr>
      <w:r w:rsidRPr="009123AA">
        <w:rPr>
          <w:rFonts w:ascii="Aptos" w:hAnsi="Aptos"/>
          <w:b/>
          <w:bCs/>
          <w:lang w:val="en-US"/>
        </w:rPr>
        <w:t>Population:</w:t>
      </w:r>
      <w:r w:rsidRPr="009123AA">
        <w:rPr>
          <w:rFonts w:ascii="Aptos" w:hAnsi="Aptos"/>
          <w:lang w:val="en-US"/>
        </w:rPr>
        <w:t xml:space="preserve"> </w:t>
      </w:r>
      <w:r w:rsidR="00DD6737" w:rsidRPr="009123AA">
        <w:rPr>
          <w:rFonts w:ascii="Aptos" w:hAnsi="Aptos"/>
          <w:lang w:val="en-US"/>
        </w:rPr>
        <w:t>5.55 million individuals from Norway</w:t>
      </w:r>
      <w:r w:rsidR="00CC0550" w:rsidRPr="009123AA">
        <w:rPr>
          <w:rFonts w:ascii="Aptos" w:hAnsi="Aptos"/>
          <w:lang w:val="en-US"/>
        </w:rPr>
        <w:t>, 2018-2023</w:t>
      </w:r>
      <w:r w:rsidRPr="009123AA">
        <w:rPr>
          <w:rFonts w:ascii="Aptos" w:hAnsi="Aptos"/>
          <w:lang w:val="en-US"/>
        </w:rPr>
        <w:t>.</w:t>
      </w:r>
    </w:p>
    <w:p w14:paraId="4FD2107A" w14:textId="38067E16" w:rsidR="00134832" w:rsidRPr="009123AA" w:rsidRDefault="009814CA" w:rsidP="009123AA">
      <w:pPr>
        <w:rPr>
          <w:rFonts w:ascii="Aptos" w:hAnsi="Aptos"/>
          <w:lang w:val="en-US"/>
        </w:rPr>
      </w:pPr>
      <w:r w:rsidRPr="009123AA">
        <w:rPr>
          <w:rFonts w:ascii="Aptos" w:hAnsi="Aptos"/>
          <w:b/>
          <w:bCs/>
          <w:lang w:val="en-US"/>
        </w:rPr>
        <w:t>Exposure:</w:t>
      </w:r>
      <w:r w:rsidRPr="009123AA">
        <w:rPr>
          <w:rFonts w:ascii="Aptos" w:hAnsi="Aptos"/>
          <w:lang w:val="en-US"/>
        </w:rPr>
        <w:t xml:space="preserve"> </w:t>
      </w:r>
      <w:r w:rsidR="00AC2130" w:rsidRPr="009123AA">
        <w:rPr>
          <w:rFonts w:ascii="Aptos" w:hAnsi="Aptos"/>
          <w:lang w:val="en-US"/>
        </w:rPr>
        <w:t>I</w:t>
      </w:r>
      <w:r w:rsidR="0033744C" w:rsidRPr="009123AA">
        <w:rPr>
          <w:rFonts w:ascii="Aptos" w:hAnsi="Aptos"/>
          <w:lang w:val="en-US"/>
        </w:rPr>
        <w:t>nfluenza</w:t>
      </w:r>
      <w:r w:rsidRPr="009123AA">
        <w:rPr>
          <w:rFonts w:ascii="Aptos" w:hAnsi="Aptos"/>
          <w:lang w:val="en-US"/>
        </w:rPr>
        <w:t xml:space="preserve"> vaccination</w:t>
      </w:r>
      <w:r w:rsidR="00625C14" w:rsidRPr="009123AA">
        <w:rPr>
          <w:rFonts w:ascii="Aptos" w:hAnsi="Aptos"/>
          <w:lang w:val="en-US"/>
        </w:rPr>
        <w:t xml:space="preserve"> (ATC: J07BB)</w:t>
      </w:r>
      <w:r w:rsidRPr="009123AA">
        <w:rPr>
          <w:rFonts w:ascii="Aptos" w:hAnsi="Aptos"/>
          <w:lang w:val="en-US"/>
        </w:rPr>
        <w:t xml:space="preserve">. </w:t>
      </w:r>
    </w:p>
    <w:p w14:paraId="485EE17E" w14:textId="76B85F71" w:rsidR="009814CA" w:rsidRPr="009123AA" w:rsidRDefault="009814CA" w:rsidP="009123AA">
      <w:pPr>
        <w:rPr>
          <w:rFonts w:ascii="Aptos" w:hAnsi="Aptos"/>
          <w:lang w:val="en-US"/>
        </w:rPr>
      </w:pPr>
      <w:r w:rsidRPr="009123AA">
        <w:rPr>
          <w:rFonts w:ascii="Aptos" w:hAnsi="Aptos"/>
          <w:b/>
          <w:bCs/>
          <w:lang w:val="en-US"/>
        </w:rPr>
        <w:t>Outcomes:</w:t>
      </w:r>
      <w:r w:rsidRPr="009123AA">
        <w:rPr>
          <w:rFonts w:ascii="Aptos" w:hAnsi="Aptos"/>
          <w:lang w:val="en-US"/>
        </w:rPr>
        <w:t xml:space="preserve"> </w:t>
      </w:r>
      <w:r w:rsidR="00584422" w:rsidRPr="009123AA">
        <w:rPr>
          <w:rFonts w:ascii="Aptos" w:hAnsi="Aptos"/>
          <w:lang w:val="en-US"/>
        </w:rPr>
        <w:t xml:space="preserve">Influenza-like illness (ILI), </w:t>
      </w:r>
      <w:r w:rsidR="00F94719" w:rsidRPr="009123AA">
        <w:rPr>
          <w:rFonts w:ascii="Aptos" w:hAnsi="Aptos"/>
          <w:lang w:val="en-US"/>
        </w:rPr>
        <w:t xml:space="preserve">acute respiratory infection (ARI), </w:t>
      </w:r>
      <w:r w:rsidR="003822DD" w:rsidRPr="009123AA">
        <w:rPr>
          <w:rFonts w:ascii="Aptos" w:hAnsi="Aptos"/>
          <w:lang w:val="en-US"/>
        </w:rPr>
        <w:t xml:space="preserve">severe </w:t>
      </w:r>
      <w:r w:rsidR="00584422" w:rsidRPr="009123AA">
        <w:rPr>
          <w:rFonts w:ascii="Aptos" w:hAnsi="Aptos"/>
          <w:lang w:val="en-US"/>
        </w:rPr>
        <w:t>acute respiratory infection (SARI)</w:t>
      </w:r>
      <w:r w:rsidR="004B6E8F" w:rsidRPr="009123AA">
        <w:rPr>
          <w:rFonts w:ascii="Aptos" w:hAnsi="Aptos"/>
          <w:lang w:val="en-US"/>
        </w:rPr>
        <w:t xml:space="preserve">, </w:t>
      </w:r>
      <w:r w:rsidR="001E7B87" w:rsidRPr="009123AA">
        <w:rPr>
          <w:rFonts w:ascii="Aptos" w:hAnsi="Aptos"/>
          <w:lang w:val="en-US"/>
        </w:rPr>
        <w:t xml:space="preserve">and </w:t>
      </w:r>
      <w:r w:rsidR="004B6E8F" w:rsidRPr="009123AA">
        <w:rPr>
          <w:rFonts w:ascii="Aptos" w:hAnsi="Aptos"/>
          <w:lang w:val="en-US"/>
        </w:rPr>
        <w:t>all-cause and respiratory/influenza-related hospitalization</w:t>
      </w:r>
      <w:r w:rsidR="001E7B87" w:rsidRPr="009123AA">
        <w:rPr>
          <w:rFonts w:ascii="Aptos" w:hAnsi="Aptos"/>
          <w:lang w:val="en-US"/>
        </w:rPr>
        <w:t xml:space="preserve"> and </w:t>
      </w:r>
      <w:r w:rsidR="00D71D64" w:rsidRPr="009123AA">
        <w:rPr>
          <w:rFonts w:ascii="Aptos" w:hAnsi="Aptos"/>
          <w:lang w:val="en-US"/>
        </w:rPr>
        <w:t>mortality</w:t>
      </w:r>
      <w:r w:rsidRPr="009123AA">
        <w:rPr>
          <w:rFonts w:ascii="Aptos" w:hAnsi="Aptos"/>
          <w:lang w:val="en-US"/>
        </w:rPr>
        <w:t>.</w:t>
      </w:r>
    </w:p>
    <w:p w14:paraId="59CC386C" w14:textId="77777777" w:rsidR="00D735F9" w:rsidRDefault="00D735F9" w:rsidP="00D735F9">
      <w:pPr>
        <w:rPr>
          <w:rFonts w:ascii="Aptos" w:hAnsi="Aptos"/>
          <w:lang w:val="en-US"/>
        </w:rPr>
      </w:pPr>
    </w:p>
    <w:p w14:paraId="59AC5B20" w14:textId="14193BC5" w:rsidR="00D735F9" w:rsidRPr="00D735F9" w:rsidRDefault="007D5C39" w:rsidP="00D735F9">
      <w:pPr>
        <w:rPr>
          <w:rFonts w:ascii="Aptos" w:hAnsi="Aptos"/>
          <w:b/>
          <w:bCs/>
          <w:color w:val="1F497D" w:themeColor="text2"/>
          <w:lang w:val="en-US"/>
        </w:rPr>
      </w:pPr>
      <w:r>
        <w:rPr>
          <w:rFonts w:ascii="Aptos" w:hAnsi="Aptos"/>
          <w:b/>
          <w:bCs/>
          <w:color w:val="1F497D" w:themeColor="text2"/>
          <w:lang w:val="en-US"/>
        </w:rPr>
        <w:t>Influenza</w:t>
      </w:r>
      <w:r w:rsidR="00D735F9" w:rsidRPr="00D735F9">
        <w:rPr>
          <w:rFonts w:ascii="Aptos" w:hAnsi="Aptos"/>
          <w:b/>
          <w:bCs/>
          <w:color w:val="1F497D" w:themeColor="text2"/>
          <w:lang w:val="en-US"/>
        </w:rPr>
        <w:t xml:space="preserve"> vaccine uptake in Norway</w:t>
      </w:r>
    </w:p>
    <w:p w14:paraId="12A5BEED" w14:textId="19462457" w:rsidR="00ED3AAC" w:rsidRPr="00EF2C5D" w:rsidRDefault="00C3248E" w:rsidP="00EF2C5D">
      <w:pPr>
        <w:rPr>
          <w:rFonts w:ascii="Aptos" w:hAnsi="Aptos"/>
          <w:lang w:val="en-US"/>
        </w:rPr>
      </w:pPr>
      <w:r>
        <w:rPr>
          <w:rFonts w:ascii="Aptos" w:hAnsi="Aptos"/>
          <w:noProof/>
          <w:lang w:val="en-US"/>
        </w:rPr>
        <w:drawing>
          <wp:inline distT="0" distB="0" distL="0" distR="0" wp14:anchorId="28AFA11A" wp14:editId="3C982771">
            <wp:extent cx="3171825" cy="1906609"/>
            <wp:effectExtent l="0" t="0" r="0" b="0"/>
            <wp:docPr id="1017402469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2" cy="191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6687C" w14:textId="0F5C37B9" w:rsidR="00576A77" w:rsidRDefault="0018431B" w:rsidP="00ED3AAC">
      <w:pPr>
        <w:pStyle w:val="ListParagraph"/>
        <w:numPr>
          <w:ilvl w:val="0"/>
          <w:numId w:val="2"/>
        </w:numPr>
        <w:rPr>
          <w:rFonts w:ascii="Aptos" w:hAnsi="Aptos"/>
          <w:lang w:val="en-US"/>
        </w:rPr>
      </w:pPr>
      <w:r>
        <w:rPr>
          <w:rFonts w:ascii="Aptos" w:hAnsi="Aptos"/>
          <w:lang w:val="en-US"/>
        </w:rPr>
        <w:t>Adults</w:t>
      </w:r>
      <w:r w:rsidR="00E37DA9">
        <w:rPr>
          <w:rFonts w:ascii="Aptos" w:hAnsi="Aptos"/>
          <w:lang w:val="en-US"/>
        </w:rPr>
        <w:t xml:space="preserve"> ≥65 years consistency showed the highest prevalence</w:t>
      </w:r>
      <w:r w:rsidR="00F44E58">
        <w:rPr>
          <w:rFonts w:ascii="Aptos" w:hAnsi="Aptos"/>
          <w:lang w:val="en-US"/>
        </w:rPr>
        <w:t xml:space="preserve"> of influenza vaccination (</w:t>
      </w:r>
      <w:r w:rsidR="009A3479">
        <w:rPr>
          <w:rFonts w:ascii="Aptos" w:hAnsi="Aptos"/>
          <w:lang w:val="en-US"/>
        </w:rPr>
        <w:t>38</w:t>
      </w:r>
      <w:r w:rsidR="0095421B">
        <w:rPr>
          <w:rFonts w:ascii="Aptos" w:hAnsi="Aptos"/>
          <w:lang w:val="en-US"/>
        </w:rPr>
        <w:t>-6</w:t>
      </w:r>
      <w:r w:rsidR="009123AA">
        <w:rPr>
          <w:rFonts w:ascii="Aptos" w:hAnsi="Aptos"/>
          <w:lang w:val="en-US"/>
        </w:rPr>
        <w:t>4</w:t>
      </w:r>
      <w:r w:rsidR="0095421B">
        <w:rPr>
          <w:rFonts w:ascii="Aptos" w:hAnsi="Aptos"/>
          <w:lang w:val="en-US"/>
        </w:rPr>
        <w:t>%).</w:t>
      </w:r>
      <w:r w:rsidR="0030483C">
        <w:rPr>
          <w:rFonts w:ascii="Aptos" w:hAnsi="Aptos"/>
          <w:lang w:val="en-US"/>
        </w:rPr>
        <w:t xml:space="preserve"> Norway had the lowest level of vaccination among children &lt;6 years (&lt;1.5%).</w:t>
      </w:r>
    </w:p>
    <w:p w14:paraId="44BDD6C8" w14:textId="379D2BA5" w:rsidR="00ED3AAC" w:rsidRDefault="00175ECF" w:rsidP="00ED3AAC">
      <w:pPr>
        <w:pStyle w:val="ListParagraph"/>
        <w:numPr>
          <w:ilvl w:val="0"/>
          <w:numId w:val="2"/>
        </w:numPr>
        <w:rPr>
          <w:rFonts w:ascii="Aptos" w:hAnsi="Aptos"/>
          <w:lang w:val="en-US"/>
        </w:rPr>
      </w:pPr>
      <w:r>
        <w:rPr>
          <w:rFonts w:ascii="Aptos" w:hAnsi="Aptos"/>
          <w:lang w:val="en-US"/>
        </w:rPr>
        <w:t>Hypertension</w:t>
      </w:r>
      <w:r w:rsidR="00F921B0">
        <w:rPr>
          <w:rFonts w:ascii="Aptos" w:hAnsi="Aptos"/>
          <w:lang w:val="en-US"/>
        </w:rPr>
        <w:t xml:space="preserve"> (</w:t>
      </w:r>
      <w:r w:rsidR="009123AA">
        <w:rPr>
          <w:rFonts w:ascii="Aptos" w:hAnsi="Aptos"/>
          <w:lang w:val="en-US"/>
        </w:rPr>
        <w:t>40</w:t>
      </w:r>
      <w:r w:rsidR="00762F07">
        <w:rPr>
          <w:rFonts w:ascii="Aptos" w:hAnsi="Aptos"/>
          <w:lang w:val="en-US"/>
        </w:rPr>
        <w:t>-</w:t>
      </w:r>
      <w:r w:rsidR="00F921B0">
        <w:rPr>
          <w:rFonts w:ascii="Aptos" w:hAnsi="Aptos"/>
          <w:lang w:val="en-US"/>
        </w:rPr>
        <w:t>4</w:t>
      </w:r>
      <w:r w:rsidR="009123AA">
        <w:rPr>
          <w:rFonts w:ascii="Aptos" w:hAnsi="Aptos"/>
          <w:lang w:val="en-US"/>
        </w:rPr>
        <w:t>5</w:t>
      </w:r>
      <w:r w:rsidR="00F921B0">
        <w:rPr>
          <w:rFonts w:ascii="Aptos" w:hAnsi="Aptos"/>
          <w:lang w:val="en-US"/>
        </w:rPr>
        <w:t>%)</w:t>
      </w:r>
      <w:r>
        <w:rPr>
          <w:rFonts w:ascii="Aptos" w:hAnsi="Aptos"/>
          <w:lang w:val="en-US"/>
        </w:rPr>
        <w:t>, cardiac conditions</w:t>
      </w:r>
      <w:r w:rsidR="00387AEF">
        <w:rPr>
          <w:rFonts w:ascii="Aptos" w:hAnsi="Aptos"/>
          <w:lang w:val="en-US"/>
        </w:rPr>
        <w:t xml:space="preserve"> (</w:t>
      </w:r>
      <w:r w:rsidR="00762F07">
        <w:rPr>
          <w:rFonts w:ascii="Aptos" w:hAnsi="Aptos"/>
          <w:lang w:val="en-US"/>
        </w:rPr>
        <w:t>3</w:t>
      </w:r>
      <w:r w:rsidR="009123AA">
        <w:rPr>
          <w:rFonts w:ascii="Aptos" w:hAnsi="Aptos"/>
          <w:lang w:val="en-US"/>
        </w:rPr>
        <w:t>7</w:t>
      </w:r>
      <w:r w:rsidR="00762F07">
        <w:rPr>
          <w:rFonts w:ascii="Aptos" w:hAnsi="Aptos"/>
          <w:lang w:val="en-US"/>
        </w:rPr>
        <w:t>-</w:t>
      </w:r>
      <w:r w:rsidR="002D4F81">
        <w:rPr>
          <w:rFonts w:ascii="Aptos" w:hAnsi="Aptos"/>
          <w:lang w:val="en-US"/>
        </w:rPr>
        <w:t>4</w:t>
      </w:r>
      <w:r w:rsidR="009123AA">
        <w:rPr>
          <w:rFonts w:ascii="Aptos" w:hAnsi="Aptos"/>
          <w:lang w:val="en-US"/>
        </w:rPr>
        <w:t>1</w:t>
      </w:r>
      <w:r w:rsidR="00387AEF">
        <w:rPr>
          <w:rFonts w:ascii="Aptos" w:hAnsi="Aptos"/>
          <w:lang w:val="en-US"/>
        </w:rPr>
        <w:t>%)</w:t>
      </w:r>
      <w:r>
        <w:rPr>
          <w:rFonts w:ascii="Aptos" w:hAnsi="Aptos"/>
          <w:lang w:val="en-US"/>
        </w:rPr>
        <w:t>, diabetes mellitus</w:t>
      </w:r>
      <w:r w:rsidR="00387AEF">
        <w:rPr>
          <w:rFonts w:ascii="Aptos" w:hAnsi="Aptos"/>
          <w:lang w:val="en-US"/>
        </w:rPr>
        <w:t xml:space="preserve"> (</w:t>
      </w:r>
      <w:r w:rsidR="00762F07">
        <w:rPr>
          <w:rFonts w:ascii="Aptos" w:hAnsi="Aptos"/>
          <w:lang w:val="en-US"/>
        </w:rPr>
        <w:t>1</w:t>
      </w:r>
      <w:r w:rsidR="009123AA">
        <w:rPr>
          <w:rFonts w:ascii="Aptos" w:hAnsi="Aptos"/>
          <w:lang w:val="en-US"/>
        </w:rPr>
        <w:t>3</w:t>
      </w:r>
      <w:r w:rsidR="00762F07">
        <w:rPr>
          <w:rFonts w:ascii="Aptos" w:hAnsi="Aptos"/>
          <w:lang w:val="en-US"/>
        </w:rPr>
        <w:t>-</w:t>
      </w:r>
      <w:r w:rsidR="00387AEF">
        <w:rPr>
          <w:rFonts w:ascii="Aptos" w:hAnsi="Aptos"/>
          <w:lang w:val="en-US"/>
        </w:rPr>
        <w:t>1</w:t>
      </w:r>
      <w:r w:rsidR="009123AA">
        <w:rPr>
          <w:rFonts w:ascii="Aptos" w:hAnsi="Aptos"/>
          <w:lang w:val="en-US"/>
        </w:rPr>
        <w:t>5</w:t>
      </w:r>
      <w:r w:rsidR="00387AEF">
        <w:rPr>
          <w:rFonts w:ascii="Aptos" w:hAnsi="Aptos"/>
          <w:lang w:val="en-US"/>
        </w:rPr>
        <w:t>%)</w:t>
      </w:r>
      <w:r>
        <w:rPr>
          <w:rFonts w:ascii="Aptos" w:hAnsi="Aptos"/>
          <w:lang w:val="en-US"/>
        </w:rPr>
        <w:t>, asthma</w:t>
      </w:r>
      <w:r w:rsidR="00726A57">
        <w:rPr>
          <w:rFonts w:ascii="Aptos" w:hAnsi="Aptos"/>
          <w:lang w:val="en-US"/>
        </w:rPr>
        <w:t xml:space="preserve"> (18</w:t>
      </w:r>
      <w:r w:rsidR="00976095">
        <w:rPr>
          <w:rFonts w:ascii="Aptos" w:hAnsi="Aptos"/>
          <w:lang w:val="en-US"/>
        </w:rPr>
        <w:t>-</w:t>
      </w:r>
      <w:r w:rsidR="00EE4928">
        <w:rPr>
          <w:rFonts w:ascii="Aptos" w:hAnsi="Aptos"/>
          <w:lang w:val="en-US"/>
        </w:rPr>
        <w:t>20</w:t>
      </w:r>
      <w:r w:rsidR="00726A57">
        <w:rPr>
          <w:rFonts w:ascii="Aptos" w:hAnsi="Aptos"/>
          <w:lang w:val="en-US"/>
        </w:rPr>
        <w:t>%)</w:t>
      </w:r>
      <w:r>
        <w:rPr>
          <w:rFonts w:ascii="Aptos" w:hAnsi="Aptos"/>
          <w:lang w:val="en-US"/>
        </w:rPr>
        <w:t>, and cancer</w:t>
      </w:r>
      <w:r w:rsidR="00387AEF">
        <w:rPr>
          <w:rFonts w:ascii="Aptos" w:hAnsi="Aptos"/>
          <w:lang w:val="en-US"/>
        </w:rPr>
        <w:t xml:space="preserve"> (</w:t>
      </w:r>
      <w:r w:rsidR="00762F07">
        <w:rPr>
          <w:rFonts w:ascii="Aptos" w:hAnsi="Aptos"/>
          <w:lang w:val="en-US"/>
        </w:rPr>
        <w:t>2</w:t>
      </w:r>
      <w:r w:rsidR="009123AA">
        <w:rPr>
          <w:rFonts w:ascii="Aptos" w:hAnsi="Aptos"/>
          <w:lang w:val="en-US"/>
        </w:rPr>
        <w:t>2</w:t>
      </w:r>
      <w:r w:rsidR="00762F07">
        <w:rPr>
          <w:rFonts w:ascii="Aptos" w:hAnsi="Aptos"/>
          <w:lang w:val="en-US"/>
        </w:rPr>
        <w:t>-</w:t>
      </w:r>
      <w:r w:rsidR="00387AEF">
        <w:rPr>
          <w:rFonts w:ascii="Aptos" w:hAnsi="Aptos"/>
          <w:lang w:val="en-US"/>
        </w:rPr>
        <w:t>2</w:t>
      </w:r>
      <w:r w:rsidR="009123AA">
        <w:rPr>
          <w:rFonts w:ascii="Aptos" w:hAnsi="Aptos"/>
          <w:lang w:val="en-US"/>
        </w:rPr>
        <w:t>4</w:t>
      </w:r>
      <w:r w:rsidR="00387AEF">
        <w:rPr>
          <w:rFonts w:ascii="Aptos" w:hAnsi="Aptos"/>
          <w:lang w:val="en-US"/>
        </w:rPr>
        <w:t>%)</w:t>
      </w:r>
      <w:r>
        <w:rPr>
          <w:rFonts w:ascii="Aptos" w:hAnsi="Aptos"/>
          <w:lang w:val="en-US"/>
        </w:rPr>
        <w:t xml:space="preserve"> were </w:t>
      </w:r>
      <w:r w:rsidR="00050F22">
        <w:rPr>
          <w:rFonts w:ascii="Aptos" w:hAnsi="Aptos"/>
          <w:lang w:val="en-US"/>
        </w:rPr>
        <w:t>the most common comorbidities.</w:t>
      </w:r>
      <w:r w:rsidR="00ED3AAC">
        <w:rPr>
          <w:rFonts w:ascii="Aptos" w:hAnsi="Aptos"/>
          <w:lang w:val="en-US"/>
        </w:rPr>
        <w:br w:type="column"/>
      </w:r>
    </w:p>
    <w:p w14:paraId="66BE1C62" w14:textId="77777777" w:rsidR="00ED3AAC" w:rsidRPr="001E164C" w:rsidRDefault="00ED3AAC" w:rsidP="009123AA">
      <w:pPr>
        <w:rPr>
          <w:rFonts w:ascii="Aptos" w:hAnsi="Aptos"/>
          <w:b/>
          <w:bCs/>
          <w:color w:val="1F497D" w:themeColor="text2"/>
          <w:lang w:val="en-US"/>
        </w:rPr>
      </w:pPr>
      <w:r w:rsidRPr="001E164C">
        <w:rPr>
          <w:rFonts w:ascii="Aptos" w:hAnsi="Aptos"/>
          <w:b/>
          <w:bCs/>
          <w:color w:val="1F497D" w:themeColor="text2"/>
          <w:lang w:val="en-US"/>
        </w:rPr>
        <w:t>Norway-specific results</w:t>
      </w:r>
    </w:p>
    <w:p w14:paraId="62F12D41" w14:textId="041683C3" w:rsidR="0060395E" w:rsidRDefault="005622CB" w:rsidP="009123AA">
      <w:pPr>
        <w:pStyle w:val="ListParagraph"/>
        <w:numPr>
          <w:ilvl w:val="0"/>
          <w:numId w:val="2"/>
        </w:numPr>
        <w:rPr>
          <w:rFonts w:ascii="Aptos" w:hAnsi="Aptos"/>
          <w:lang w:val="en-US"/>
        </w:rPr>
      </w:pPr>
      <w:r>
        <w:rPr>
          <w:rFonts w:ascii="Aptos" w:hAnsi="Aptos"/>
          <w:lang w:val="en-US"/>
        </w:rPr>
        <w:t>ARI</w:t>
      </w:r>
      <w:r w:rsidR="00220C8C">
        <w:rPr>
          <w:rFonts w:ascii="Aptos" w:hAnsi="Aptos"/>
          <w:lang w:val="en-US"/>
        </w:rPr>
        <w:t xml:space="preserve"> was the most frequently observed outcome with incidence rates </w:t>
      </w:r>
      <w:r w:rsidR="001365BA">
        <w:rPr>
          <w:rFonts w:ascii="Aptos" w:hAnsi="Aptos"/>
          <w:lang w:val="en-US"/>
        </w:rPr>
        <w:t xml:space="preserve">ranging between </w:t>
      </w:r>
      <w:r w:rsidR="0097732B">
        <w:rPr>
          <w:rFonts w:ascii="Aptos" w:hAnsi="Aptos"/>
          <w:lang w:val="en-US"/>
        </w:rPr>
        <w:t>11</w:t>
      </w:r>
      <w:r w:rsidR="008B12C2">
        <w:rPr>
          <w:rFonts w:ascii="Aptos" w:hAnsi="Aptos"/>
          <w:lang w:val="en-US"/>
        </w:rPr>
        <w:t>,467</w:t>
      </w:r>
      <w:r w:rsidR="0061299A">
        <w:rPr>
          <w:rFonts w:ascii="Aptos" w:hAnsi="Aptos"/>
          <w:lang w:val="en-US"/>
        </w:rPr>
        <w:t xml:space="preserve"> and </w:t>
      </w:r>
      <w:r w:rsidR="008B12C2">
        <w:rPr>
          <w:rFonts w:ascii="Aptos" w:hAnsi="Aptos"/>
          <w:lang w:val="en-US"/>
        </w:rPr>
        <w:t>14,931</w:t>
      </w:r>
      <w:r w:rsidR="0061299A">
        <w:rPr>
          <w:rFonts w:ascii="Aptos" w:hAnsi="Aptos"/>
          <w:lang w:val="en-US"/>
        </w:rPr>
        <w:t xml:space="preserve"> per 100,000 person-years (PY).</w:t>
      </w:r>
    </w:p>
    <w:p w14:paraId="7510B17F" w14:textId="2FB2A801" w:rsidR="00ED3AAC" w:rsidRDefault="0061299A" w:rsidP="009123AA">
      <w:pPr>
        <w:pStyle w:val="ListParagraph"/>
        <w:numPr>
          <w:ilvl w:val="0"/>
          <w:numId w:val="2"/>
        </w:numPr>
        <w:rPr>
          <w:rFonts w:ascii="Aptos" w:hAnsi="Aptos"/>
          <w:lang w:val="en-US"/>
        </w:rPr>
      </w:pPr>
      <w:r>
        <w:rPr>
          <w:rFonts w:ascii="Aptos" w:hAnsi="Aptos"/>
          <w:lang w:val="en-US"/>
        </w:rPr>
        <w:t>Influenza exceeded 1,000 cases per 100,000 PY in some seasons,</w:t>
      </w:r>
      <w:r w:rsidR="0060395E">
        <w:rPr>
          <w:rFonts w:ascii="Aptos" w:hAnsi="Aptos"/>
          <w:lang w:val="en-US"/>
        </w:rPr>
        <w:t xml:space="preserve"> rates of other outcomes remained below 1,000 per 100,000 PY.</w:t>
      </w:r>
    </w:p>
    <w:p w14:paraId="52A3F5A0" w14:textId="734A77CD" w:rsidR="000157C6" w:rsidRDefault="00BA0520" w:rsidP="009123AA">
      <w:pPr>
        <w:rPr>
          <w:rFonts w:ascii="Aptos" w:hAnsi="Aptos"/>
          <w:lang w:val="en-US"/>
        </w:rPr>
      </w:pPr>
      <w:r>
        <w:rPr>
          <w:rFonts w:ascii="Aptos" w:hAnsi="Aptos"/>
          <w:noProof/>
          <w:lang w:val="en-US"/>
        </w:rPr>
        <w:drawing>
          <wp:inline distT="0" distB="0" distL="0" distR="0" wp14:anchorId="7944D2AE" wp14:editId="1A86378D">
            <wp:extent cx="1545146" cy="928800"/>
            <wp:effectExtent l="0" t="0" r="0" b="5080"/>
            <wp:docPr id="55670282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146" cy="9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32B21">
        <w:rPr>
          <w:rFonts w:ascii="Aptos" w:hAnsi="Aptos"/>
          <w:noProof/>
          <w:lang w:val="en-US"/>
        </w:rPr>
        <w:drawing>
          <wp:inline distT="0" distB="0" distL="0" distR="0" wp14:anchorId="2C265F58" wp14:editId="2306F6F0">
            <wp:extent cx="1545146" cy="928800"/>
            <wp:effectExtent l="0" t="0" r="0" b="5080"/>
            <wp:docPr id="1167473590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146" cy="9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E508B" w14:textId="5418A7AD" w:rsidR="00D92FA6" w:rsidRDefault="00CF4CA8" w:rsidP="009123AA">
      <w:pPr>
        <w:pStyle w:val="ListParagraph"/>
        <w:numPr>
          <w:ilvl w:val="0"/>
          <w:numId w:val="5"/>
        </w:numPr>
        <w:rPr>
          <w:rFonts w:ascii="Aptos" w:hAnsi="Aptos"/>
          <w:lang w:val="en-US"/>
        </w:rPr>
      </w:pPr>
      <w:r>
        <w:rPr>
          <w:rFonts w:ascii="Aptos" w:hAnsi="Aptos"/>
          <w:lang w:val="en-US"/>
        </w:rPr>
        <w:t xml:space="preserve">Incidence rates </w:t>
      </w:r>
      <w:r w:rsidR="00C969AC">
        <w:rPr>
          <w:rFonts w:ascii="Aptos" w:hAnsi="Aptos"/>
          <w:lang w:val="en-US"/>
        </w:rPr>
        <w:t>for all-cause hospitalization and death</w:t>
      </w:r>
      <w:r w:rsidR="004F1946">
        <w:rPr>
          <w:rFonts w:ascii="Aptos" w:hAnsi="Aptos"/>
          <w:lang w:val="en-US"/>
        </w:rPr>
        <w:t xml:space="preserve"> remained relatively stable over time.</w:t>
      </w:r>
    </w:p>
    <w:p w14:paraId="1E015E89" w14:textId="74984329" w:rsidR="00070B2F" w:rsidRPr="00070B2F" w:rsidRDefault="00070B2F" w:rsidP="009123AA">
      <w:pPr>
        <w:rPr>
          <w:rFonts w:ascii="Aptos" w:hAnsi="Aptos"/>
          <w:lang w:val="en-US"/>
        </w:rPr>
      </w:pPr>
      <w:r>
        <w:rPr>
          <w:rFonts w:ascii="Aptos" w:hAnsi="Aptos"/>
          <w:noProof/>
          <w:lang w:val="en-US"/>
        </w:rPr>
        <w:drawing>
          <wp:inline distT="0" distB="0" distL="0" distR="0" wp14:anchorId="2D79AAE5" wp14:editId="571FA426">
            <wp:extent cx="3100618" cy="1533525"/>
            <wp:effectExtent l="0" t="0" r="5080" b="0"/>
            <wp:docPr id="1618356461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354" cy="1545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DBFB98" w14:textId="0E598796" w:rsidR="009814CA" w:rsidRDefault="009814CA" w:rsidP="009814CA">
      <w:pPr>
        <w:rPr>
          <w:rFonts w:ascii="Aptos" w:hAnsi="Aptos"/>
          <w:lang w:val="en-US"/>
        </w:rPr>
      </w:pPr>
    </w:p>
    <w:p w14:paraId="31C15D03" w14:textId="7AC4EAE4" w:rsidR="009814CA" w:rsidRDefault="00A95ECB" w:rsidP="009814CA">
      <w:pPr>
        <w:rPr>
          <w:rFonts w:ascii="Aptos" w:hAnsi="Aptos"/>
          <w:lang w:val="en-US"/>
        </w:rPr>
      </w:pPr>
      <w:r>
        <w:rPr>
          <w:rFonts w:ascii="Aptos" w:hAnsi="Aptos"/>
          <w:b/>
          <w:bCs/>
          <w:color w:val="1F497D" w:themeColor="text2"/>
          <w:lang w:val="en-US"/>
        </w:rPr>
        <w:t>Data &amp; Methods notes</w:t>
      </w:r>
    </w:p>
    <w:p w14:paraId="4C988A0A" w14:textId="6FC52641" w:rsidR="00566AF4" w:rsidRDefault="00566AF4" w:rsidP="00A95ECB">
      <w:pPr>
        <w:pStyle w:val="ListParagraph"/>
        <w:numPr>
          <w:ilvl w:val="0"/>
          <w:numId w:val="3"/>
        </w:numPr>
        <w:rPr>
          <w:rFonts w:ascii="Aptos" w:hAnsi="Aptos"/>
          <w:lang w:val="en-US"/>
        </w:rPr>
      </w:pPr>
      <w:r>
        <w:rPr>
          <w:rFonts w:ascii="Aptos" w:hAnsi="Aptos"/>
          <w:lang w:val="en-US"/>
        </w:rPr>
        <w:t>The higher absolute incidence rates for several outcomes in the vaccinated group likely reflect their older age and higher burden of chronic conditions</w:t>
      </w:r>
      <w:r w:rsidR="006316A5">
        <w:rPr>
          <w:rFonts w:ascii="Aptos" w:hAnsi="Aptos"/>
          <w:lang w:val="en-US"/>
        </w:rPr>
        <w:t xml:space="preserve">, </w:t>
      </w:r>
      <w:r w:rsidR="006316A5" w:rsidRPr="006316A5">
        <w:rPr>
          <w:rFonts w:ascii="Aptos" w:hAnsi="Aptos"/>
          <w:lang w:val="en-US"/>
        </w:rPr>
        <w:t>consistent with national recommendations to vaccinate at-risk groups.</w:t>
      </w:r>
    </w:p>
    <w:p w14:paraId="3AED792D" w14:textId="0B624E83" w:rsidR="00A95ECB" w:rsidRPr="00D92FA6" w:rsidRDefault="00F17935" w:rsidP="00566AF4">
      <w:pPr>
        <w:pStyle w:val="ListParagraph"/>
        <w:numPr>
          <w:ilvl w:val="0"/>
          <w:numId w:val="3"/>
        </w:numPr>
        <w:rPr>
          <w:rFonts w:ascii="Aptos" w:hAnsi="Aptos"/>
          <w:lang w:val="en-US"/>
        </w:rPr>
        <w:sectPr w:rsidR="00A95ECB" w:rsidRPr="00D92FA6" w:rsidSect="00462B1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Aptos" w:hAnsi="Aptos"/>
          <w:lang w:val="en-US"/>
        </w:rPr>
        <w:t xml:space="preserve">No information on </w:t>
      </w:r>
      <w:r w:rsidR="005F6080">
        <w:rPr>
          <w:rFonts w:ascii="Aptos" w:hAnsi="Aptos"/>
          <w:lang w:val="en-US"/>
        </w:rPr>
        <w:t>influenza vaccine brands</w:t>
      </w:r>
      <w:r w:rsidR="0049494D">
        <w:rPr>
          <w:rFonts w:ascii="Aptos" w:hAnsi="Aptos"/>
          <w:lang w:val="en-US"/>
        </w:rPr>
        <w:t xml:space="preserve"> and administration routes</w:t>
      </w:r>
      <w:r w:rsidR="005F6080">
        <w:rPr>
          <w:rFonts w:ascii="Aptos" w:hAnsi="Aptos"/>
          <w:lang w:val="en-US"/>
        </w:rPr>
        <w:t xml:space="preserve"> was available in the Norwegian data</w:t>
      </w:r>
      <w:r w:rsidR="001A2DBB">
        <w:rPr>
          <w:rFonts w:ascii="Aptos" w:hAnsi="Aptos"/>
          <w:lang w:val="en-US"/>
        </w:rPr>
        <w:t>, which may limit</w:t>
      </w:r>
      <w:r w:rsidR="00C81FC8">
        <w:rPr>
          <w:rFonts w:ascii="Aptos" w:hAnsi="Aptos"/>
          <w:lang w:val="en-US"/>
        </w:rPr>
        <w:t xml:space="preserve"> the ability to contribute </w:t>
      </w:r>
      <w:r w:rsidR="00423D7E">
        <w:rPr>
          <w:rFonts w:ascii="Aptos" w:hAnsi="Aptos"/>
          <w:lang w:val="en-US"/>
        </w:rPr>
        <w:t>to</w:t>
      </w:r>
      <w:r w:rsidR="00C81FC8">
        <w:rPr>
          <w:rFonts w:ascii="Aptos" w:hAnsi="Aptos"/>
          <w:lang w:val="en-US"/>
        </w:rPr>
        <w:t xml:space="preserve"> future IVE studies</w:t>
      </w:r>
      <w:r w:rsidR="005F6080">
        <w:rPr>
          <w:rFonts w:ascii="Aptos" w:hAnsi="Aptos"/>
          <w:lang w:val="en-US"/>
        </w:rPr>
        <w:t>.</w:t>
      </w:r>
    </w:p>
    <w:p w14:paraId="4756A8A9" w14:textId="52AFBCDE" w:rsidR="00A95ECB" w:rsidRDefault="00A95ECB" w:rsidP="00A95ECB">
      <w:pPr>
        <w:rPr>
          <w:rFonts w:ascii="Aptos" w:hAnsi="Aptos"/>
          <w:lang w:val="en-US"/>
        </w:rPr>
      </w:pPr>
    </w:p>
    <w:p w14:paraId="1EC9256A" w14:textId="76ADAD99" w:rsidR="00A95ECB" w:rsidRDefault="00A87F3C" w:rsidP="00A87F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Aptos" w:hAnsi="Aptos"/>
          <w:b/>
          <w:bCs/>
          <w:color w:val="1F497D" w:themeColor="text2"/>
          <w:lang w:val="en-US"/>
        </w:rPr>
      </w:pPr>
      <w:r>
        <w:rPr>
          <w:rFonts w:ascii="Aptos" w:hAnsi="Aptos"/>
          <w:b/>
          <w:bCs/>
          <w:color w:val="1F497D" w:themeColor="text2"/>
          <w:lang w:val="en-US"/>
        </w:rPr>
        <w:t>How was this useful?</w:t>
      </w:r>
    </w:p>
    <w:p w14:paraId="39EBE2C8" w14:textId="78AC8341" w:rsidR="002B229B" w:rsidRDefault="00077204" w:rsidP="00423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Aptos" w:hAnsi="Aptos"/>
          <w:lang w:val="en-US"/>
        </w:rPr>
        <w:sectPr w:rsidR="002B229B" w:rsidSect="00A87F3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Aptos" w:hAnsi="Aptos"/>
          <w:lang w:val="en-US"/>
        </w:rPr>
        <w:t xml:space="preserve">Norway was among the countries with lowest </w:t>
      </w:r>
      <w:r w:rsidR="007E7073">
        <w:rPr>
          <w:rFonts w:ascii="Aptos" w:hAnsi="Aptos"/>
          <w:lang w:val="en-US"/>
        </w:rPr>
        <w:t>influenza vaccin</w:t>
      </w:r>
      <w:r w:rsidR="00B9032A">
        <w:rPr>
          <w:rFonts w:ascii="Aptos" w:hAnsi="Aptos"/>
          <w:lang w:val="en-US"/>
        </w:rPr>
        <w:t>ation</w:t>
      </w:r>
      <w:r w:rsidR="007E7073">
        <w:rPr>
          <w:rFonts w:ascii="Aptos" w:hAnsi="Aptos"/>
          <w:lang w:val="en-US"/>
        </w:rPr>
        <w:t xml:space="preserve"> prevalence, being</w:t>
      </w:r>
      <w:r w:rsidR="00EC247F">
        <w:rPr>
          <w:rFonts w:ascii="Aptos" w:hAnsi="Aptos"/>
          <w:lang w:val="en-US"/>
        </w:rPr>
        <w:t xml:space="preserve"> 15% in the influenza season</w:t>
      </w:r>
      <w:r w:rsidR="007B4227">
        <w:rPr>
          <w:rFonts w:ascii="Aptos" w:hAnsi="Aptos"/>
          <w:lang w:val="en-US"/>
        </w:rPr>
        <w:t xml:space="preserve"> before the COVID-</w:t>
      </w:r>
      <w:proofErr w:type="gramStart"/>
      <w:r w:rsidR="007B4227">
        <w:rPr>
          <w:rFonts w:ascii="Aptos" w:hAnsi="Aptos"/>
          <w:lang w:val="en-US"/>
        </w:rPr>
        <w:t>pandemic, and</w:t>
      </w:r>
      <w:proofErr w:type="gramEnd"/>
      <w:r w:rsidR="007B4227">
        <w:rPr>
          <w:rFonts w:ascii="Aptos" w:hAnsi="Aptos"/>
          <w:lang w:val="en-US"/>
        </w:rPr>
        <w:t xml:space="preserve"> sharply increas</w:t>
      </w:r>
      <w:r w:rsidR="007E7073">
        <w:rPr>
          <w:rFonts w:ascii="Aptos" w:hAnsi="Aptos"/>
          <w:lang w:val="en-US"/>
        </w:rPr>
        <w:t>ing</w:t>
      </w:r>
      <w:r w:rsidR="007B4227">
        <w:rPr>
          <w:rFonts w:ascii="Aptos" w:hAnsi="Aptos"/>
          <w:lang w:val="en-US"/>
        </w:rPr>
        <w:t xml:space="preserve"> during t</w:t>
      </w:r>
      <w:r w:rsidR="00421A60">
        <w:rPr>
          <w:rFonts w:ascii="Aptos" w:hAnsi="Aptos"/>
          <w:lang w:val="en-US"/>
        </w:rPr>
        <w:t xml:space="preserve">he 2020/21 season. </w:t>
      </w:r>
      <w:r w:rsidR="00B9032A">
        <w:rPr>
          <w:rFonts w:ascii="Aptos" w:hAnsi="Aptos"/>
          <w:lang w:val="en-US"/>
        </w:rPr>
        <w:t>Influenza v</w:t>
      </w:r>
      <w:r w:rsidR="00421A60">
        <w:rPr>
          <w:rFonts w:ascii="Aptos" w:hAnsi="Aptos"/>
          <w:lang w:val="en-US"/>
        </w:rPr>
        <w:t xml:space="preserve">accination prevalence slightly decreased after this peak. </w:t>
      </w:r>
      <w:r w:rsidR="006E68B6">
        <w:rPr>
          <w:rFonts w:ascii="Aptos" w:hAnsi="Aptos"/>
          <w:lang w:val="en-US"/>
        </w:rPr>
        <w:t xml:space="preserve">Vaccine recipients were </w:t>
      </w:r>
      <w:r w:rsidR="00FC6532">
        <w:rPr>
          <w:rFonts w:ascii="Aptos" w:hAnsi="Aptos"/>
          <w:lang w:val="en-US"/>
        </w:rPr>
        <w:t>predominantly older adults and female, with comorbidities consistent with the targeted risk groups.</w:t>
      </w:r>
      <w:r w:rsidR="009123AA">
        <w:rPr>
          <w:rFonts w:ascii="Aptos" w:hAnsi="Aptos"/>
          <w:lang w:val="en-US"/>
        </w:rPr>
        <w:t xml:space="preserve"> </w:t>
      </w:r>
      <w:r w:rsidR="00876991">
        <w:rPr>
          <w:rFonts w:ascii="Aptos" w:hAnsi="Aptos"/>
          <w:lang w:val="en-US"/>
        </w:rPr>
        <w:t>Incidence rates of respiratory outcomes</w:t>
      </w:r>
      <w:r w:rsidR="003B2E9E">
        <w:rPr>
          <w:rFonts w:ascii="Aptos" w:hAnsi="Aptos"/>
          <w:lang w:val="en-US"/>
        </w:rPr>
        <w:t xml:space="preserve"> were generally stable over time, except for a notable drop </w:t>
      </w:r>
      <w:r w:rsidR="00423D7E">
        <w:rPr>
          <w:rFonts w:ascii="Aptos" w:hAnsi="Aptos"/>
          <w:lang w:val="en-US"/>
        </w:rPr>
        <w:t xml:space="preserve">during </w:t>
      </w:r>
      <w:r w:rsidR="009123AA" w:rsidRPr="009123AA">
        <w:rPr>
          <w:rFonts w:ascii="Aptos" w:hAnsi="Aptos"/>
          <w:lang w:val="en-US"/>
        </w:rPr>
        <w:t xml:space="preserve">the COVID-19 pandemic </w:t>
      </w:r>
      <w:r w:rsidR="003B2E9E">
        <w:rPr>
          <w:rFonts w:ascii="Aptos" w:hAnsi="Aptos"/>
          <w:lang w:val="en-US"/>
        </w:rPr>
        <w:t>in 2020/21</w:t>
      </w:r>
      <w:r w:rsidR="00E46F1C">
        <w:rPr>
          <w:rFonts w:ascii="Aptos" w:hAnsi="Aptos"/>
          <w:lang w:val="en-US"/>
        </w:rPr>
        <w:t xml:space="preserve">. </w:t>
      </w:r>
      <w:r w:rsidR="008D6B9E">
        <w:rPr>
          <w:rFonts w:ascii="Aptos" w:hAnsi="Aptos"/>
          <w:lang w:val="en-US"/>
        </w:rPr>
        <w:t xml:space="preserve">Continued refinement and validation of </w:t>
      </w:r>
      <w:r w:rsidR="00423D7E">
        <w:rPr>
          <w:rFonts w:ascii="Aptos" w:hAnsi="Aptos"/>
          <w:lang w:val="en-US"/>
        </w:rPr>
        <w:t xml:space="preserve">influenza-related </w:t>
      </w:r>
      <w:r w:rsidR="008D6B9E">
        <w:rPr>
          <w:rFonts w:ascii="Aptos" w:hAnsi="Aptos"/>
          <w:lang w:val="en-US"/>
        </w:rPr>
        <w:t>outcome</w:t>
      </w:r>
      <w:r w:rsidR="00BE7986">
        <w:rPr>
          <w:rFonts w:ascii="Aptos" w:hAnsi="Aptos"/>
          <w:lang w:val="en-US"/>
        </w:rPr>
        <w:t xml:space="preserve">s may enhance the ability of these data sources, including Norwegian </w:t>
      </w:r>
      <w:r w:rsidR="00423D7E">
        <w:rPr>
          <w:rFonts w:ascii="Aptos" w:hAnsi="Aptos"/>
          <w:lang w:val="en-US"/>
        </w:rPr>
        <w:t>l</w:t>
      </w:r>
      <w:r w:rsidR="00BE7986">
        <w:rPr>
          <w:rFonts w:ascii="Aptos" w:hAnsi="Aptos"/>
          <w:lang w:val="en-US"/>
        </w:rPr>
        <w:t xml:space="preserve">inked </w:t>
      </w:r>
      <w:r w:rsidR="00423D7E">
        <w:rPr>
          <w:rFonts w:ascii="Aptos" w:hAnsi="Aptos"/>
          <w:lang w:val="en-US"/>
        </w:rPr>
        <w:t>h</w:t>
      </w:r>
      <w:r w:rsidR="00BE7986">
        <w:rPr>
          <w:rFonts w:ascii="Aptos" w:hAnsi="Aptos"/>
          <w:lang w:val="en-US"/>
        </w:rPr>
        <w:t xml:space="preserve">ealth </w:t>
      </w:r>
      <w:r w:rsidR="00423D7E">
        <w:rPr>
          <w:rFonts w:ascii="Aptos" w:hAnsi="Aptos"/>
          <w:lang w:val="en-US"/>
        </w:rPr>
        <w:t>r</w:t>
      </w:r>
      <w:r w:rsidR="00BE7986">
        <w:rPr>
          <w:rFonts w:ascii="Aptos" w:hAnsi="Aptos"/>
          <w:lang w:val="en-US"/>
        </w:rPr>
        <w:t>egistr</w:t>
      </w:r>
      <w:r w:rsidR="0036168E">
        <w:rPr>
          <w:rFonts w:ascii="Aptos" w:hAnsi="Aptos"/>
          <w:lang w:val="en-US"/>
        </w:rPr>
        <w:t>y data</w:t>
      </w:r>
      <w:r w:rsidR="0050210D">
        <w:rPr>
          <w:rFonts w:ascii="Aptos" w:hAnsi="Aptos"/>
          <w:lang w:val="en-US"/>
        </w:rPr>
        <w:t xml:space="preserve">, to contribute reliable and policy-relevant </w:t>
      </w:r>
      <w:r w:rsidR="002D6F39">
        <w:rPr>
          <w:rFonts w:ascii="Aptos" w:hAnsi="Aptos"/>
          <w:lang w:val="en-US"/>
        </w:rPr>
        <w:t>IVE evidence</w:t>
      </w:r>
      <w:r w:rsidR="00FD44D1">
        <w:rPr>
          <w:rFonts w:ascii="Aptos" w:hAnsi="Aptos"/>
          <w:lang w:val="en-US"/>
        </w:rPr>
        <w:t>.</w:t>
      </w:r>
    </w:p>
    <w:p w14:paraId="0948820B" w14:textId="77777777" w:rsidR="00484C79" w:rsidRDefault="00484C79" w:rsidP="002B229B">
      <w:pPr>
        <w:rPr>
          <w:rFonts w:ascii="Aptos" w:hAnsi="Aptos"/>
          <w:b/>
          <w:bCs/>
          <w:color w:val="1F497D" w:themeColor="text2"/>
          <w:lang w:val="en-US"/>
        </w:rPr>
      </w:pPr>
    </w:p>
    <w:p w14:paraId="468F79D9" w14:textId="21E92BF8" w:rsidR="002B229B" w:rsidRDefault="002B229B" w:rsidP="002B229B">
      <w:pPr>
        <w:rPr>
          <w:rFonts w:ascii="Aptos" w:hAnsi="Aptos"/>
          <w:b/>
          <w:bCs/>
          <w:color w:val="1F497D" w:themeColor="text2"/>
          <w:lang w:val="en-US"/>
        </w:rPr>
      </w:pPr>
      <w:r>
        <w:rPr>
          <w:rFonts w:ascii="Aptos" w:hAnsi="Aptos"/>
          <w:b/>
          <w:bCs/>
          <w:color w:val="1F497D" w:themeColor="text2"/>
          <w:lang w:val="en-US"/>
        </w:rPr>
        <w:t xml:space="preserve">Access </w:t>
      </w:r>
      <w:r w:rsidR="004810CA">
        <w:rPr>
          <w:rFonts w:ascii="Aptos" w:hAnsi="Aptos"/>
          <w:b/>
          <w:bCs/>
          <w:color w:val="1F497D" w:themeColor="text2"/>
          <w:lang w:val="en-US"/>
        </w:rPr>
        <w:t xml:space="preserve">to </w:t>
      </w:r>
      <w:r>
        <w:rPr>
          <w:rFonts w:ascii="Aptos" w:hAnsi="Aptos"/>
          <w:b/>
          <w:bCs/>
          <w:color w:val="1F497D" w:themeColor="text2"/>
          <w:lang w:val="en-US"/>
        </w:rPr>
        <w:t>the full report</w:t>
      </w:r>
    </w:p>
    <w:p w14:paraId="7B8DD7BA" w14:textId="02D81A2D" w:rsidR="00484C79" w:rsidRPr="00484C79" w:rsidRDefault="005116D2" w:rsidP="00484C79">
      <w:pPr>
        <w:rPr>
          <w:rStyle w:val="Hyperlink"/>
          <w:rFonts w:ascii="Aptos" w:hAnsi="Aptos"/>
          <w:color w:val="4F81BD" w:themeColor="accent1"/>
          <w:lang w:val="en-US"/>
        </w:rPr>
      </w:pPr>
      <w:hyperlink r:id="rId15" w:history="1">
        <w:r>
          <w:rPr>
            <w:rStyle w:val="Hyperlink"/>
            <w:rFonts w:ascii="Aptos" w:hAnsi="Aptos"/>
            <w:color w:val="4F81BD" w:themeColor="accent1"/>
            <w:lang w:val="en-US"/>
          </w:rPr>
          <w:t>DARWIN EU® Proof-of-concept: Preparedness for annual seasonal IVE studies - Vaccine coverage and incidence of influenza-related outcomes</w:t>
        </w:r>
      </w:hyperlink>
      <w:r w:rsidR="004E021B" w:rsidRPr="004E021B">
        <w:rPr>
          <w:noProof/>
          <w:lang w:val="en-US"/>
        </w:rPr>
        <w:t xml:space="preserve"> </w:t>
      </w:r>
    </w:p>
    <w:p w14:paraId="0B9030F1" w14:textId="3770EB2B" w:rsidR="00484C79" w:rsidRDefault="004E021B" w:rsidP="00484C79">
      <w:pPr>
        <w:jc w:val="right"/>
        <w:rPr>
          <w:rStyle w:val="Hyperlink"/>
          <w:rFonts w:ascii="Aptos" w:hAnsi="Aptos"/>
          <w:color w:val="4F81BD" w:themeColor="accent1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F1BB464" wp14:editId="615655B3">
            <wp:simplePos x="0" y="0"/>
            <wp:positionH relativeFrom="margin">
              <wp:posOffset>-104775</wp:posOffset>
            </wp:positionH>
            <wp:positionV relativeFrom="paragraph">
              <wp:posOffset>48260</wp:posOffset>
            </wp:positionV>
            <wp:extent cx="4693920" cy="481965"/>
            <wp:effectExtent l="0" t="0" r="0" b="0"/>
            <wp:wrapNone/>
            <wp:docPr id="6" name="Afbeelding 3" descr="Tekstvak 2, Tekst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ekstvak 2, Tekstvak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29B" w:rsidRPr="000157C6">
        <w:rPr>
          <w:rStyle w:val="Hyperlink"/>
          <w:rFonts w:ascii="Aptos" w:hAnsi="Aptos"/>
          <w:color w:val="4F81BD" w:themeColor="accent1"/>
          <w:lang w:val="en-US"/>
        </w:rPr>
        <w:br w:type="column"/>
      </w:r>
    </w:p>
    <w:p w14:paraId="78CC94A9" w14:textId="1089A51E" w:rsidR="002B229B" w:rsidRPr="00484C79" w:rsidRDefault="002B229B" w:rsidP="00484C79">
      <w:pPr>
        <w:jc w:val="right"/>
        <w:rPr>
          <w:rStyle w:val="Hyperlink"/>
          <w:rFonts w:ascii="Aptos" w:hAnsi="Aptos"/>
          <w:b/>
          <w:bCs/>
          <w:color w:val="1F497D" w:themeColor="text2"/>
          <w:u w:val="none"/>
          <w:lang w:val="en-US"/>
        </w:rPr>
      </w:pPr>
      <w:r w:rsidRPr="00484C79">
        <w:rPr>
          <w:rStyle w:val="Hyperlink"/>
          <w:rFonts w:ascii="Aptos" w:hAnsi="Aptos"/>
          <w:b/>
          <w:bCs/>
          <w:color w:val="1F497D" w:themeColor="text2"/>
          <w:u w:val="none"/>
          <w:lang w:val="en-US"/>
        </w:rPr>
        <w:t>Contact</w:t>
      </w:r>
    </w:p>
    <w:p w14:paraId="64E83A14" w14:textId="5FA50F38" w:rsidR="002B229B" w:rsidRDefault="002B229B" w:rsidP="002B229B">
      <w:pPr>
        <w:jc w:val="right"/>
        <w:rPr>
          <w:rFonts w:ascii="Aptos" w:hAnsi="Aptos"/>
          <w:lang w:val="en-US"/>
        </w:rPr>
      </w:pPr>
      <w:r>
        <w:rPr>
          <w:rFonts w:ascii="Aptos" w:hAnsi="Aptos"/>
          <w:lang w:val="en-US"/>
        </w:rPr>
        <w:t>Hedvig Nordeng:</w:t>
      </w:r>
    </w:p>
    <w:p w14:paraId="395958BA" w14:textId="3D622FBE" w:rsidR="002B229B" w:rsidRPr="002B229B" w:rsidRDefault="00E90BBC" w:rsidP="002B229B">
      <w:pPr>
        <w:jc w:val="right"/>
        <w:rPr>
          <w:rFonts w:ascii="Aptos" w:hAnsi="Aptos"/>
          <w:lang w:val="en-US"/>
        </w:rPr>
      </w:pPr>
      <w:r>
        <w:rPr>
          <w:noProof/>
          <w:color w:val="003399"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05C3F968" wp14:editId="45C3D172">
            <wp:simplePos x="0" y="0"/>
            <wp:positionH relativeFrom="column">
              <wp:posOffset>1075690</wp:posOffset>
            </wp:positionH>
            <wp:positionV relativeFrom="page">
              <wp:posOffset>9993630</wp:posOffset>
            </wp:positionV>
            <wp:extent cx="2022475" cy="631825"/>
            <wp:effectExtent l="0" t="0" r="0" b="0"/>
            <wp:wrapNone/>
            <wp:docPr id="1756727714" name="Picture 5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727714" name="Picture 5" descr="A black background with white text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475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29B" w:rsidRPr="002B229B">
        <w:rPr>
          <w:rFonts w:ascii="Aptos" w:hAnsi="Aptos"/>
          <w:lang w:val="en-US"/>
        </w:rPr>
        <w:t>h.m.e.nordeng@farmasi.uio.no</w:t>
      </w:r>
    </w:p>
    <w:p w14:paraId="4A6E07E7" w14:textId="69E8CDE2" w:rsidR="002B229B" w:rsidRPr="002B229B" w:rsidRDefault="002B229B" w:rsidP="002B229B">
      <w:pPr>
        <w:rPr>
          <w:rFonts w:ascii="Aptos" w:hAnsi="Aptos"/>
          <w:b/>
          <w:bCs/>
          <w:color w:val="1F497D" w:themeColor="text2"/>
          <w:lang w:val="en-US"/>
        </w:rPr>
      </w:pPr>
    </w:p>
    <w:sectPr w:rsidR="002B229B" w:rsidRPr="002B229B" w:rsidSect="002B229B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E5D84"/>
    <w:multiLevelType w:val="hybridMultilevel"/>
    <w:tmpl w:val="A2261A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001AC9"/>
    <w:multiLevelType w:val="hybridMultilevel"/>
    <w:tmpl w:val="7D6C14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24163F"/>
    <w:multiLevelType w:val="hybridMultilevel"/>
    <w:tmpl w:val="FC889A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D1503"/>
    <w:multiLevelType w:val="hybridMultilevel"/>
    <w:tmpl w:val="8622570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9D6522"/>
    <w:multiLevelType w:val="hybridMultilevel"/>
    <w:tmpl w:val="13EA64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6953832">
    <w:abstractNumId w:val="4"/>
  </w:num>
  <w:num w:numId="2" w16cid:durableId="242761540">
    <w:abstractNumId w:val="2"/>
  </w:num>
  <w:num w:numId="3" w16cid:durableId="2033724049">
    <w:abstractNumId w:val="0"/>
  </w:num>
  <w:num w:numId="4" w16cid:durableId="659308627">
    <w:abstractNumId w:val="1"/>
  </w:num>
  <w:num w:numId="5" w16cid:durableId="1283338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B1"/>
    <w:rsid w:val="000157C6"/>
    <w:rsid w:val="00050F22"/>
    <w:rsid w:val="00070B2F"/>
    <w:rsid w:val="00077204"/>
    <w:rsid w:val="000F0CFD"/>
    <w:rsid w:val="000F2605"/>
    <w:rsid w:val="00127A08"/>
    <w:rsid w:val="0013165C"/>
    <w:rsid w:val="00134832"/>
    <w:rsid w:val="001365BA"/>
    <w:rsid w:val="00137B23"/>
    <w:rsid w:val="0015536B"/>
    <w:rsid w:val="00166889"/>
    <w:rsid w:val="00175AF6"/>
    <w:rsid w:val="00175ECF"/>
    <w:rsid w:val="0018431B"/>
    <w:rsid w:val="001A2DBB"/>
    <w:rsid w:val="001B1BCF"/>
    <w:rsid w:val="001C3E6E"/>
    <w:rsid w:val="001C585B"/>
    <w:rsid w:val="001C5B91"/>
    <w:rsid w:val="001E164C"/>
    <w:rsid w:val="001E7B87"/>
    <w:rsid w:val="00220C8C"/>
    <w:rsid w:val="00232B21"/>
    <w:rsid w:val="002517F2"/>
    <w:rsid w:val="00271AE7"/>
    <w:rsid w:val="00282488"/>
    <w:rsid w:val="002B229B"/>
    <w:rsid w:val="002B6107"/>
    <w:rsid w:val="002D4F81"/>
    <w:rsid w:val="002D6817"/>
    <w:rsid w:val="002D6F39"/>
    <w:rsid w:val="0030483C"/>
    <w:rsid w:val="00314509"/>
    <w:rsid w:val="00314618"/>
    <w:rsid w:val="0033744C"/>
    <w:rsid w:val="0036168E"/>
    <w:rsid w:val="00367598"/>
    <w:rsid w:val="003822DD"/>
    <w:rsid w:val="00387AEF"/>
    <w:rsid w:val="003960F6"/>
    <w:rsid w:val="003B2E9E"/>
    <w:rsid w:val="003D1FF4"/>
    <w:rsid w:val="00421A60"/>
    <w:rsid w:val="00423D7E"/>
    <w:rsid w:val="00462B10"/>
    <w:rsid w:val="004810CA"/>
    <w:rsid w:val="00484C79"/>
    <w:rsid w:val="0049494D"/>
    <w:rsid w:val="004B08E9"/>
    <w:rsid w:val="004B5FBF"/>
    <w:rsid w:val="004B6E8F"/>
    <w:rsid w:val="004C4433"/>
    <w:rsid w:val="004E021B"/>
    <w:rsid w:val="004E2AFD"/>
    <w:rsid w:val="004F1946"/>
    <w:rsid w:val="004F2041"/>
    <w:rsid w:val="004F5025"/>
    <w:rsid w:val="004F5613"/>
    <w:rsid w:val="0050210D"/>
    <w:rsid w:val="005116D2"/>
    <w:rsid w:val="005622CB"/>
    <w:rsid w:val="00566AF4"/>
    <w:rsid w:val="00576A77"/>
    <w:rsid w:val="00577745"/>
    <w:rsid w:val="00584422"/>
    <w:rsid w:val="005A4D5B"/>
    <w:rsid w:val="005D5200"/>
    <w:rsid w:val="005F6080"/>
    <w:rsid w:val="0060395E"/>
    <w:rsid w:val="0061299A"/>
    <w:rsid w:val="00625C14"/>
    <w:rsid w:val="006316A5"/>
    <w:rsid w:val="00642C35"/>
    <w:rsid w:val="00653173"/>
    <w:rsid w:val="006E68B6"/>
    <w:rsid w:val="006F402B"/>
    <w:rsid w:val="00722082"/>
    <w:rsid w:val="00726A57"/>
    <w:rsid w:val="00741DB1"/>
    <w:rsid w:val="00755070"/>
    <w:rsid w:val="00762F07"/>
    <w:rsid w:val="007707C6"/>
    <w:rsid w:val="00787C5E"/>
    <w:rsid w:val="007B4227"/>
    <w:rsid w:val="007D5C39"/>
    <w:rsid w:val="007E1D1F"/>
    <w:rsid w:val="007E7073"/>
    <w:rsid w:val="00810709"/>
    <w:rsid w:val="00817878"/>
    <w:rsid w:val="00822265"/>
    <w:rsid w:val="00876991"/>
    <w:rsid w:val="00883B61"/>
    <w:rsid w:val="00886225"/>
    <w:rsid w:val="00887B72"/>
    <w:rsid w:val="008B12C2"/>
    <w:rsid w:val="008C6ED3"/>
    <w:rsid w:val="008D6B9E"/>
    <w:rsid w:val="008F2974"/>
    <w:rsid w:val="009063BA"/>
    <w:rsid w:val="009123AA"/>
    <w:rsid w:val="0095421B"/>
    <w:rsid w:val="00974017"/>
    <w:rsid w:val="00976095"/>
    <w:rsid w:val="0097732B"/>
    <w:rsid w:val="009814CA"/>
    <w:rsid w:val="0098595A"/>
    <w:rsid w:val="009A3479"/>
    <w:rsid w:val="009E2305"/>
    <w:rsid w:val="00A2671A"/>
    <w:rsid w:val="00A3361A"/>
    <w:rsid w:val="00A4511B"/>
    <w:rsid w:val="00A50100"/>
    <w:rsid w:val="00A87F3C"/>
    <w:rsid w:val="00A95ECB"/>
    <w:rsid w:val="00AB7ADF"/>
    <w:rsid w:val="00AC2130"/>
    <w:rsid w:val="00AF7C17"/>
    <w:rsid w:val="00B36570"/>
    <w:rsid w:val="00B47407"/>
    <w:rsid w:val="00B763CC"/>
    <w:rsid w:val="00B81CFD"/>
    <w:rsid w:val="00B9032A"/>
    <w:rsid w:val="00B90C3E"/>
    <w:rsid w:val="00B96A30"/>
    <w:rsid w:val="00BA0520"/>
    <w:rsid w:val="00BB1274"/>
    <w:rsid w:val="00BE1AFA"/>
    <w:rsid w:val="00BE208E"/>
    <w:rsid w:val="00BE7986"/>
    <w:rsid w:val="00C13BF6"/>
    <w:rsid w:val="00C3248E"/>
    <w:rsid w:val="00C34DF2"/>
    <w:rsid w:val="00C4050E"/>
    <w:rsid w:val="00C57F6E"/>
    <w:rsid w:val="00C7397A"/>
    <w:rsid w:val="00C81FC8"/>
    <w:rsid w:val="00C969AC"/>
    <w:rsid w:val="00CB444D"/>
    <w:rsid w:val="00CC0550"/>
    <w:rsid w:val="00CE11E5"/>
    <w:rsid w:val="00CF4CA8"/>
    <w:rsid w:val="00D3542E"/>
    <w:rsid w:val="00D71D64"/>
    <w:rsid w:val="00D735F9"/>
    <w:rsid w:val="00D92FA6"/>
    <w:rsid w:val="00DB27BE"/>
    <w:rsid w:val="00DD6737"/>
    <w:rsid w:val="00DD7F0A"/>
    <w:rsid w:val="00E37DA9"/>
    <w:rsid w:val="00E4534C"/>
    <w:rsid w:val="00E46F1C"/>
    <w:rsid w:val="00E774D4"/>
    <w:rsid w:val="00E90BBC"/>
    <w:rsid w:val="00E9449A"/>
    <w:rsid w:val="00EB0D4A"/>
    <w:rsid w:val="00EC247F"/>
    <w:rsid w:val="00ED3AAC"/>
    <w:rsid w:val="00EE4928"/>
    <w:rsid w:val="00EF2C5D"/>
    <w:rsid w:val="00F17935"/>
    <w:rsid w:val="00F408BA"/>
    <w:rsid w:val="00F44E58"/>
    <w:rsid w:val="00F86D8D"/>
    <w:rsid w:val="00F921B0"/>
    <w:rsid w:val="00F94719"/>
    <w:rsid w:val="00FC6532"/>
    <w:rsid w:val="00FD44D1"/>
    <w:rsid w:val="00FE65D8"/>
    <w:rsid w:val="00FF695D"/>
    <w:rsid w:val="0B3EE0F1"/>
    <w:rsid w:val="4B91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77C48"/>
  <w15:chartTrackingRefBased/>
  <w15:docId w15:val="{43ADB86B-CD4C-411E-907E-9C158BED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74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41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DB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DB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D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D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D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D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DB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DB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DB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DB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DB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D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D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D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D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DB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DB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DB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DB1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229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229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C7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96A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6A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6A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A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A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hyperlink" Target="https://catalogues.ema.europa.eu/node/4707/administrative-details" TargetMode="External"/><Relationship Id="rId10" Type="http://schemas.openxmlformats.org/officeDocument/2006/relationships/image" Target="media/image2.sv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77EA83BCCC149BC44901C0AA3D01B" ma:contentTypeVersion="14" ma:contentTypeDescription="Create a new document." ma:contentTypeScope="" ma:versionID="590cea94483019490dc1fc13ddea17d1">
  <xsd:schema xmlns:xsd="http://www.w3.org/2001/XMLSchema" xmlns:xs="http://www.w3.org/2001/XMLSchema" xmlns:p="http://schemas.microsoft.com/office/2006/metadata/properties" xmlns:ns2="ad2a90bd-b470-454e-a4c8-1e4ca4c79d1e" xmlns:ns3="031a6f0f-36ff-4237-8aa5-7f5a8f58282c" targetNamespace="http://schemas.microsoft.com/office/2006/metadata/properties" ma:root="true" ma:fieldsID="1e29c589180d920f1909956cee62bf54" ns2:_="" ns3:_="">
    <xsd:import namespace="ad2a90bd-b470-454e-a4c8-1e4ca4c79d1e"/>
    <xsd:import namespace="031a6f0f-36ff-4237-8aa5-7f5a8f582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a90bd-b470-454e-a4c8-1e4ca4c79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a6f0f-36ff-4237-8aa5-7f5a8f582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a332277-4469-49ea-bef7-4cf2f10a2bd2}" ma:internalName="TaxCatchAll" ma:showField="CatchAllData" ma:web="031a6f0f-36ff-4237-8aa5-7f5a8f5828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1a6f0f-36ff-4237-8aa5-7f5a8f58282c" xsi:nil="true"/>
    <lcf76f155ced4ddcb4097134ff3c332f xmlns="ad2a90bd-b470-454e-a4c8-1e4ca4c79d1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F56AF-5E1F-41BA-A79A-D1783B8B22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C7AD3-EB8C-491E-AD80-915CAB33A79A}"/>
</file>

<file path=customXml/itemProps3.xml><?xml version="1.0" encoding="utf-8"?>
<ds:datastoreItem xmlns:ds="http://schemas.openxmlformats.org/officeDocument/2006/customXml" ds:itemID="{5FE3450B-902D-40CF-8A74-A2B45B2C28B8}">
  <ds:schemaRefs>
    <ds:schemaRef ds:uri="http://schemas.microsoft.com/office/2006/metadata/properties"/>
    <ds:schemaRef ds:uri="http://schemas.microsoft.com/office/infopath/2007/PartnerControls"/>
    <ds:schemaRef ds:uri="4ac0962c-0ceb-4704-b8d4-bd5cadd085eb"/>
    <ds:schemaRef ds:uri="7ff222c2-a171-4119-bf88-f4aa7821b80d"/>
  </ds:schemaRefs>
</ds:datastoreItem>
</file>

<file path=customXml/itemProps4.xml><?xml version="1.0" encoding="utf-8"?>
<ds:datastoreItem xmlns:ds="http://schemas.openxmlformats.org/officeDocument/2006/customXml" ds:itemID="{38846219-6AC2-4923-AF23-2607150158B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485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Gelder, Marleen van</dc:creator>
  <cp:keywords/>
  <dc:description/>
  <cp:lastModifiedBy>Hedvig Marie Egeland Nordeng</cp:lastModifiedBy>
  <cp:revision>2</cp:revision>
  <dcterms:created xsi:type="dcterms:W3CDTF">2026-06-18T19:06:00Z</dcterms:created>
  <dcterms:modified xsi:type="dcterms:W3CDTF">2026-06-18T19:06:00Z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0x01010025977EA83BCCC149BC44901C0AA3D01B</vt:lpwstr>
  </property>
  <property fmtid="{D5CDD505-2E9C-101B-9397-08002B2CF9AE}" pid="3" name="MediaServiceImageTags">
    <vt:lpwstr/>
  </property>
</Properties>
</file>