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6C4F" w:rsidRPr="00F66C4F" w:rsidRDefault="00F66C4F" w:rsidP="00F66C4F">
      <w:pPr>
        <w:shd w:val="clear" w:color="auto" w:fill="FFFFFF"/>
        <w:spacing w:before="150" w:after="150"/>
        <w:outlineLvl w:val="2"/>
        <w:rPr>
          <w:rFonts w:asciiTheme="majorBidi" w:eastAsia="Times New Roman" w:hAnsiTheme="majorBidi" w:cstheme="majorBidi"/>
          <w:color w:val="333333"/>
          <w:sz w:val="27"/>
          <w:szCs w:val="27"/>
        </w:rPr>
      </w:pPr>
      <w:r w:rsidRPr="00F66C4F">
        <w:rPr>
          <w:rFonts w:asciiTheme="majorBidi" w:eastAsia="Times New Roman" w:hAnsiTheme="majorBidi" w:cstheme="majorBidi"/>
          <w:b/>
          <w:bCs/>
          <w:color w:val="333333"/>
          <w:sz w:val="27"/>
          <w:szCs w:val="27"/>
        </w:rPr>
        <w:t>§ 11-6.</w:t>
      </w:r>
      <w:r w:rsidRPr="00F66C4F">
        <w:rPr>
          <w:rFonts w:asciiTheme="majorBidi" w:eastAsia="Times New Roman" w:hAnsiTheme="majorBidi" w:cstheme="majorBidi"/>
          <w:b/>
          <w:bCs/>
          <w:i/>
          <w:iCs/>
          <w:color w:val="333333"/>
          <w:sz w:val="27"/>
          <w:szCs w:val="27"/>
        </w:rPr>
        <w:t>Gjennomføring av eksamen</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rPr>
        <w:t xml:space="preserve">Universiteter og høyskoler skal sørge for at studentenes kunnskaper og ferdigheter blir prøvd og vurdert på en upartisk og faglig betryggende måte. Vurderingen skal sikre det faglige nivået på studiet. </w:t>
      </w:r>
      <w:r w:rsidRPr="00F66C4F">
        <w:rPr>
          <w:rFonts w:asciiTheme="majorBidi" w:eastAsia="Times New Roman" w:hAnsiTheme="majorBidi" w:cstheme="majorBidi"/>
          <w:color w:val="333333"/>
          <w:sz w:val="23"/>
          <w:szCs w:val="23"/>
          <w:highlight w:val="yellow"/>
          <w:shd w:val="pct15" w:color="auto" w:fill="FFFFFF"/>
        </w:rPr>
        <w:t>Institusjonene skal enten ha ekstern sensor ved sensur av den enkelte eksamen eller ekstern evaluering av eksamens- og sensurordningen.</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rPr>
        <w:t>Den muntlige delen av en eksamen skal være offentlig med mindre hensynet til gjennomføringen av eksamenen tilsier noe annet. En institusjon kan gjøre unntak fra regelen om offentlig eksamen dersom det er særlige grunner for det.</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rPr>
        <w:t>Institusjonene gir forskrift om gjennomføring av eksamen, vilkår for å gå opp til eksamen på nytt og for adgang til ny praksisperiode.</w:t>
      </w:r>
    </w:p>
    <w:p w:rsidR="00F66C4F" w:rsidRPr="00F66C4F" w:rsidRDefault="00F66C4F" w:rsidP="00F66C4F">
      <w:pPr>
        <w:shd w:val="clear" w:color="auto" w:fill="FFFFFF"/>
        <w:spacing w:before="150" w:after="150"/>
        <w:outlineLvl w:val="2"/>
        <w:rPr>
          <w:rFonts w:asciiTheme="majorBidi" w:eastAsia="Times New Roman" w:hAnsiTheme="majorBidi" w:cstheme="majorBidi"/>
          <w:color w:val="333333"/>
          <w:sz w:val="27"/>
          <w:szCs w:val="27"/>
        </w:rPr>
      </w:pPr>
      <w:bookmarkStart w:id="0" w:name="§11-7"/>
      <w:bookmarkStart w:id="1" w:name="PARAGRAF_11-7"/>
      <w:bookmarkEnd w:id="0"/>
      <w:bookmarkEnd w:id="1"/>
      <w:r w:rsidRPr="00F66C4F">
        <w:rPr>
          <w:rFonts w:asciiTheme="majorBidi" w:eastAsia="Times New Roman" w:hAnsiTheme="majorBidi" w:cstheme="majorBidi"/>
          <w:b/>
          <w:bCs/>
          <w:color w:val="333333"/>
          <w:sz w:val="27"/>
          <w:szCs w:val="27"/>
        </w:rPr>
        <w:t>§ 11-7.</w:t>
      </w:r>
      <w:r w:rsidRPr="00F66C4F">
        <w:rPr>
          <w:rFonts w:asciiTheme="majorBidi" w:eastAsia="Times New Roman" w:hAnsiTheme="majorBidi" w:cstheme="majorBidi"/>
          <w:b/>
          <w:bCs/>
          <w:i/>
          <w:iCs/>
          <w:color w:val="333333"/>
          <w:sz w:val="27"/>
          <w:szCs w:val="27"/>
        </w:rPr>
        <w:t>Gjennomføring av sensur</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rPr>
        <w:t>Universiteter og høyskoler skal oppnevne sensor ved eksamen. Karakteren ved sensur skal være bestått eller ikke bestått, eller en gradert skala med fem trinn fra A til E for bestått og F for ikke bestått.</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shd w:val="pct15" w:color="auto" w:fill="FFFFFF"/>
        </w:rPr>
      </w:pPr>
      <w:r w:rsidRPr="00F66C4F">
        <w:rPr>
          <w:rFonts w:asciiTheme="majorBidi" w:eastAsia="Times New Roman" w:hAnsiTheme="majorBidi" w:cstheme="majorBidi"/>
          <w:color w:val="333333"/>
          <w:sz w:val="23"/>
          <w:szCs w:val="23"/>
          <w:highlight w:val="yellow"/>
          <w:shd w:val="pct15" w:color="auto" w:fill="FFFFFF"/>
        </w:rPr>
        <w:t>Det skal være minst to sensorer, hvorav minst én ekstern, ved sensur av studentenes selvstendige arbeid i høyere grad. Det skal være to sensorer ved sensur av bacheloroppgaver eller lignende selvstendig arbeid på lavere grad, eksamener som ikke er etterprøvbare, og eksamener som alene utgjør 15 studiepoeng eller mer.</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highlight w:val="yellow"/>
        </w:rPr>
        <w:t>Institusjonene skal utarbeide skriftlig sensorveiledning til alle eksamener. Sensorveiledningen skal være tilgjengelig for studentene etter at karakteren er fastsatt.</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highlight w:val="yellow"/>
        </w:rPr>
        <w:t>Sensuren skal foreligge innen 15 virkedager fra eksamen er avlagt</w:t>
      </w:r>
      <w:r w:rsidRPr="00F66C4F">
        <w:rPr>
          <w:rFonts w:asciiTheme="majorBidi" w:eastAsia="Times New Roman" w:hAnsiTheme="majorBidi" w:cstheme="majorBidi"/>
          <w:color w:val="333333"/>
          <w:sz w:val="23"/>
          <w:szCs w:val="23"/>
        </w:rPr>
        <w:t>, dersom ikke særlige grunner gjør det nødvendig å bruke mer tid. Institusjonene kan gi midlertidig forskrift om lengre frist for enkelte eksamener dersom det ikke er mulig å skaffe det antallet kvalifiserte sensorer som trengs for å avvikle sensuren innen 15 virkedager. Institusjonene kan gi forskrift om lengre frist enn 15 virkedager for større skriftlige arbeider.</w:t>
      </w:r>
    </w:p>
    <w:p w:rsidR="00F66C4F" w:rsidRPr="00F66C4F" w:rsidRDefault="00F66C4F" w:rsidP="00F66C4F">
      <w:pPr>
        <w:shd w:val="clear" w:color="auto" w:fill="FFFFFF"/>
        <w:spacing w:before="150" w:after="150"/>
        <w:outlineLvl w:val="2"/>
        <w:rPr>
          <w:rFonts w:asciiTheme="majorBidi" w:eastAsia="Times New Roman" w:hAnsiTheme="majorBidi" w:cstheme="majorBidi"/>
          <w:color w:val="333333"/>
          <w:sz w:val="27"/>
          <w:szCs w:val="27"/>
        </w:rPr>
      </w:pPr>
      <w:bookmarkStart w:id="2" w:name="§11-8"/>
      <w:bookmarkStart w:id="3" w:name="PARAGRAF_11-8"/>
      <w:bookmarkEnd w:id="2"/>
      <w:bookmarkEnd w:id="3"/>
      <w:r w:rsidRPr="00F66C4F">
        <w:rPr>
          <w:rFonts w:asciiTheme="majorBidi" w:eastAsia="Times New Roman" w:hAnsiTheme="majorBidi" w:cstheme="majorBidi"/>
          <w:b/>
          <w:bCs/>
          <w:color w:val="333333"/>
          <w:sz w:val="27"/>
          <w:szCs w:val="27"/>
        </w:rPr>
        <w:t>§ 11-8.</w:t>
      </w:r>
      <w:r w:rsidRPr="00F66C4F">
        <w:rPr>
          <w:rFonts w:asciiTheme="majorBidi" w:eastAsia="Times New Roman" w:hAnsiTheme="majorBidi" w:cstheme="majorBidi"/>
          <w:b/>
          <w:bCs/>
          <w:i/>
          <w:iCs/>
          <w:color w:val="333333"/>
          <w:sz w:val="27"/>
          <w:szCs w:val="27"/>
        </w:rPr>
        <w:t>Rett til begrunnelse for karakter</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rPr>
        <w:t>En student har rett til å få en begrunnelse for sensurvedtaket sitt. Studenten må kreve begrunnelse innen én uke etter at sensurvedtaket er kunngjort for studenten.</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rPr>
        <w:t>Ved muntlige, utøvende eller praktiske eksamener må studenten kreve begrunnelse umiddelbart etter at sensurvedtaket er meddelt studenten.</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highlight w:val="yellow"/>
        </w:rPr>
        <w:t>Studenten skal få begrunnelse for karakteren innen to uker etter at studenten har bedt om det. Begrunnelsen skal inneholde de generelle prinsippene som er lagt til grunn for sensurvedtaket, og vurderingen av studentens prestasjon.</w:t>
      </w:r>
    </w:p>
    <w:p w:rsidR="00F66C4F" w:rsidRPr="00F66C4F" w:rsidRDefault="00F66C4F" w:rsidP="00F66C4F">
      <w:pPr>
        <w:shd w:val="clear" w:color="auto" w:fill="FFFFFF"/>
        <w:spacing w:before="150" w:after="150"/>
        <w:outlineLvl w:val="2"/>
        <w:rPr>
          <w:rFonts w:asciiTheme="majorBidi" w:eastAsia="Times New Roman" w:hAnsiTheme="majorBidi" w:cstheme="majorBidi"/>
          <w:color w:val="333333"/>
          <w:sz w:val="27"/>
          <w:szCs w:val="27"/>
        </w:rPr>
      </w:pPr>
      <w:bookmarkStart w:id="4" w:name="§11-9"/>
      <w:bookmarkStart w:id="5" w:name="PARAGRAF_11-9"/>
      <w:bookmarkEnd w:id="4"/>
      <w:bookmarkEnd w:id="5"/>
      <w:r w:rsidRPr="00F66C4F">
        <w:rPr>
          <w:rFonts w:asciiTheme="majorBidi" w:eastAsia="Times New Roman" w:hAnsiTheme="majorBidi" w:cstheme="majorBidi"/>
          <w:b/>
          <w:bCs/>
          <w:color w:val="333333"/>
          <w:sz w:val="27"/>
          <w:szCs w:val="27"/>
        </w:rPr>
        <w:t>§ 11-9.</w:t>
      </w:r>
      <w:r w:rsidRPr="00F66C4F">
        <w:rPr>
          <w:rFonts w:asciiTheme="majorBidi" w:eastAsia="Times New Roman" w:hAnsiTheme="majorBidi" w:cstheme="majorBidi"/>
          <w:b/>
          <w:bCs/>
          <w:i/>
          <w:iCs/>
          <w:color w:val="333333"/>
          <w:sz w:val="27"/>
          <w:szCs w:val="27"/>
        </w:rPr>
        <w:t>Klage på formelle feil ved eksamen</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rPr>
        <w:t>En student som har vært oppe til eksamen, kan klage på formelle feil innen tre uker etter at studenten ble eller burd</w:t>
      </w:r>
      <w:bookmarkStart w:id="6" w:name="_GoBack"/>
      <w:bookmarkEnd w:id="6"/>
      <w:r w:rsidRPr="00F66C4F">
        <w:rPr>
          <w:rFonts w:asciiTheme="majorBidi" w:eastAsia="Times New Roman" w:hAnsiTheme="majorBidi" w:cstheme="majorBidi"/>
          <w:color w:val="333333"/>
          <w:sz w:val="23"/>
          <w:szCs w:val="23"/>
        </w:rPr>
        <w:t>e vært kjent med den formelle feilen.</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rPr>
        <w:t xml:space="preserve">Dersom institusjonen mener det er begått feil som kan ha hatt betydning for studentens prestasjon eller for sensurvedtaket, skal institusjonen oppheve sensurvedtaket. Dersom feilen kan rettes ved ny sensur av innleverte arbeider, skal institusjonen gjennomføre ny sensur. Dersom </w:t>
      </w:r>
      <w:r w:rsidRPr="00F66C4F">
        <w:rPr>
          <w:rFonts w:asciiTheme="majorBidi" w:eastAsia="Times New Roman" w:hAnsiTheme="majorBidi" w:cstheme="majorBidi"/>
          <w:color w:val="333333"/>
          <w:sz w:val="23"/>
          <w:szCs w:val="23"/>
        </w:rPr>
        <w:lastRenderedPageBreak/>
        <w:t>feilen ikke kan rettes ved ny sensur av innleverte arbeider, skal institusjonen avholde ny eksamen med nye sensorer. Studenten kan klage etter reglene i </w:t>
      </w:r>
      <w:hyperlink r:id="rId4" w:history="1">
        <w:r w:rsidRPr="00F66C4F">
          <w:rPr>
            <w:rFonts w:asciiTheme="majorBidi" w:eastAsia="Times New Roman" w:hAnsiTheme="majorBidi" w:cstheme="majorBidi"/>
            <w:color w:val="DB142C"/>
            <w:sz w:val="23"/>
            <w:szCs w:val="23"/>
            <w:u w:val="single"/>
          </w:rPr>
          <w:t>§ 11-10</w:t>
        </w:r>
      </w:hyperlink>
      <w:r w:rsidRPr="00F66C4F">
        <w:rPr>
          <w:rFonts w:asciiTheme="majorBidi" w:eastAsia="Times New Roman" w:hAnsiTheme="majorBidi" w:cstheme="majorBidi"/>
          <w:color w:val="333333"/>
          <w:sz w:val="23"/>
          <w:szCs w:val="23"/>
        </w:rPr>
        <w:t> på den karakteren som blir fastsatt ved ny sensur.</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rPr>
        <w:t>Dersom institusjonen mener det ikke er begått feil som kan ha hatt betydning for studentens prestasjon eller for sensurvedtaket, skal saken sendes til klageinstansen for vurdering.</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rPr>
        <w:t>Dersom institusjonen mener det er begått formelle feil og det er rimelig å anta at det kan ha hatt betydning for andre studenters prestasjon eller sensurvedtak, kan institusjonen oppheve sensurvedtaket også for andre studenter enn den som har klaget på formelle feil. Institusjonen kan da vedta ny sensur eller ny eksamen. Studenter som ikke har klaget på formelle feil, men som likevel blir berørt av institusjonens vedtak, kan klage på vedtaket.</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rPr>
        <w:t>Klageinstansen kan oppheve sensurvedtaket og vedta ny sensur eller ny eksamen for den som har klaget på formelle feil. Klageinstansen kan ikke oppheve sensurvedtaket eller vedta ny sensur eller ny eksamen for andre enn den som har klaget på formelle feil. Dersom klageinstansen mener at institusjonens vurdering av saken er mangelfull, kan klageinstansen sende saken tilbake til institusjonen for ny vurdering.</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rPr>
        <w:t>Dersom en student har krevd begrunnelse etter </w:t>
      </w:r>
      <w:hyperlink r:id="rId5" w:history="1">
        <w:r w:rsidRPr="00F66C4F">
          <w:rPr>
            <w:rFonts w:asciiTheme="majorBidi" w:eastAsia="Times New Roman" w:hAnsiTheme="majorBidi" w:cstheme="majorBidi"/>
            <w:color w:val="DB142C"/>
            <w:sz w:val="23"/>
            <w:szCs w:val="23"/>
            <w:u w:val="single"/>
          </w:rPr>
          <w:t>§ 11-8</w:t>
        </w:r>
      </w:hyperlink>
      <w:r w:rsidRPr="00F66C4F">
        <w:rPr>
          <w:rFonts w:asciiTheme="majorBidi" w:eastAsia="Times New Roman" w:hAnsiTheme="majorBidi" w:cstheme="majorBidi"/>
          <w:color w:val="333333"/>
          <w:sz w:val="23"/>
          <w:szCs w:val="23"/>
        </w:rPr>
        <w:t> eller klaget på karakteren etter </w:t>
      </w:r>
      <w:hyperlink r:id="rId6" w:history="1">
        <w:r w:rsidRPr="00F66C4F">
          <w:rPr>
            <w:rFonts w:asciiTheme="majorBidi" w:eastAsia="Times New Roman" w:hAnsiTheme="majorBidi" w:cstheme="majorBidi"/>
            <w:color w:val="DB142C"/>
            <w:sz w:val="23"/>
            <w:szCs w:val="23"/>
            <w:u w:val="single"/>
          </w:rPr>
          <w:t>§ 11-10</w:t>
        </w:r>
      </w:hyperlink>
      <w:r w:rsidRPr="00F66C4F">
        <w:rPr>
          <w:rFonts w:asciiTheme="majorBidi" w:eastAsia="Times New Roman" w:hAnsiTheme="majorBidi" w:cstheme="majorBidi"/>
          <w:color w:val="333333"/>
          <w:sz w:val="23"/>
          <w:szCs w:val="23"/>
        </w:rPr>
        <w:t>, løper fristen for å klage på formelle feil fra studenten har fått begrunnelsen for karakteren eller resultatet fra klagen på karakteren.</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rPr>
        <w:t>Styret selv eller institusjonens nemnd for studentsaker, jf. </w:t>
      </w:r>
      <w:hyperlink r:id="rId7" w:history="1">
        <w:r w:rsidRPr="00F66C4F">
          <w:rPr>
            <w:rFonts w:asciiTheme="majorBidi" w:eastAsia="Times New Roman" w:hAnsiTheme="majorBidi" w:cstheme="majorBidi"/>
            <w:color w:val="DB142C"/>
            <w:sz w:val="23"/>
            <w:szCs w:val="23"/>
            <w:u w:val="single"/>
          </w:rPr>
          <w:t>§ 14-1</w:t>
        </w:r>
      </w:hyperlink>
      <w:r w:rsidRPr="00F66C4F">
        <w:rPr>
          <w:rFonts w:asciiTheme="majorBidi" w:eastAsia="Times New Roman" w:hAnsiTheme="majorBidi" w:cstheme="majorBidi"/>
          <w:color w:val="333333"/>
          <w:sz w:val="23"/>
          <w:szCs w:val="23"/>
        </w:rPr>
        <w:t>, er klageinstans for institusjonens vedtak etter denne paragrafen.</w:t>
      </w:r>
    </w:p>
    <w:tbl>
      <w:tblPr>
        <w:tblW w:w="12605" w:type="dxa"/>
        <w:tblCellMar>
          <w:top w:w="15" w:type="dxa"/>
          <w:left w:w="15" w:type="dxa"/>
          <w:bottom w:w="15" w:type="dxa"/>
          <w:right w:w="15" w:type="dxa"/>
        </w:tblCellMar>
        <w:tblLook w:val="04A0" w:firstRow="1" w:lastRow="0" w:firstColumn="1" w:lastColumn="0" w:noHBand="0" w:noVBand="1"/>
      </w:tblPr>
      <w:tblGrid>
        <w:gridCol w:w="630"/>
        <w:gridCol w:w="11975"/>
      </w:tblGrid>
      <w:tr w:rsidR="00F66C4F" w:rsidRPr="00F66C4F" w:rsidTr="00F66C4F">
        <w:tc>
          <w:tcPr>
            <w:tcW w:w="630" w:type="dxa"/>
            <w:shd w:val="clear" w:color="auto" w:fill="auto"/>
            <w:noWrap/>
            <w:tcMar>
              <w:top w:w="60" w:type="dxa"/>
              <w:left w:w="15" w:type="dxa"/>
              <w:bottom w:w="15" w:type="dxa"/>
              <w:right w:w="15" w:type="dxa"/>
            </w:tcMar>
            <w:hideMark/>
          </w:tcPr>
          <w:p w:rsidR="00F66C4F" w:rsidRPr="00F66C4F" w:rsidRDefault="00F66C4F" w:rsidP="00F66C4F">
            <w:pPr>
              <w:spacing w:before="75" w:line="240" w:lineRule="atLeast"/>
              <w:jc w:val="right"/>
              <w:rPr>
                <w:rFonts w:asciiTheme="majorBidi" w:eastAsia="Times New Roman" w:hAnsiTheme="majorBidi" w:cstheme="majorBidi"/>
                <w:color w:val="666666"/>
                <w:sz w:val="18"/>
                <w:szCs w:val="18"/>
              </w:rPr>
            </w:pPr>
            <w:r w:rsidRPr="00F66C4F">
              <w:rPr>
                <w:rFonts w:asciiTheme="majorBidi" w:eastAsia="Times New Roman" w:hAnsiTheme="majorBidi" w:cstheme="majorBidi"/>
                <w:color w:val="666666"/>
                <w:sz w:val="18"/>
                <w:szCs w:val="18"/>
              </w:rPr>
              <w:t>0</w:t>
            </w:r>
          </w:p>
        </w:tc>
        <w:tc>
          <w:tcPr>
            <w:tcW w:w="0" w:type="auto"/>
            <w:shd w:val="clear" w:color="auto" w:fill="auto"/>
            <w:tcMar>
              <w:top w:w="60" w:type="dxa"/>
              <w:left w:w="120" w:type="dxa"/>
              <w:bottom w:w="15" w:type="dxa"/>
              <w:right w:w="15" w:type="dxa"/>
            </w:tcMar>
            <w:hideMark/>
          </w:tcPr>
          <w:p w:rsidR="00F66C4F" w:rsidRPr="00F66C4F" w:rsidRDefault="00F66C4F" w:rsidP="00F66C4F">
            <w:pPr>
              <w:spacing w:before="75" w:line="240" w:lineRule="atLeast"/>
              <w:rPr>
                <w:rFonts w:asciiTheme="majorBidi" w:eastAsia="Times New Roman" w:hAnsiTheme="majorBidi" w:cstheme="majorBidi"/>
                <w:color w:val="333333"/>
                <w:sz w:val="18"/>
                <w:szCs w:val="18"/>
              </w:rPr>
            </w:pPr>
            <w:proofErr w:type="spellStart"/>
            <w:r w:rsidRPr="00F66C4F">
              <w:rPr>
                <w:rFonts w:asciiTheme="majorBidi" w:eastAsia="Times New Roman" w:hAnsiTheme="majorBidi" w:cstheme="majorBidi"/>
                <w:color w:val="333333"/>
                <w:sz w:val="18"/>
                <w:szCs w:val="18"/>
                <w:lang w:val="da-DK"/>
              </w:rPr>
              <w:t>Endret</w:t>
            </w:r>
            <w:proofErr w:type="spellEnd"/>
            <w:r w:rsidRPr="00F66C4F">
              <w:rPr>
                <w:rFonts w:asciiTheme="majorBidi" w:eastAsia="Times New Roman" w:hAnsiTheme="majorBidi" w:cstheme="majorBidi"/>
                <w:color w:val="333333"/>
                <w:sz w:val="18"/>
                <w:szCs w:val="18"/>
                <w:lang w:val="da-DK"/>
              </w:rPr>
              <w:t xml:space="preserve"> ved lov </w:t>
            </w:r>
            <w:hyperlink r:id="rId8" w:history="1">
              <w:r w:rsidRPr="00F66C4F">
                <w:rPr>
                  <w:rFonts w:asciiTheme="majorBidi" w:eastAsia="Times New Roman" w:hAnsiTheme="majorBidi" w:cstheme="majorBidi"/>
                  <w:color w:val="DB142C"/>
                  <w:sz w:val="18"/>
                  <w:szCs w:val="18"/>
                  <w:u w:val="single"/>
                  <w:lang w:val="da-DK"/>
                </w:rPr>
                <w:t>20 juni 2025 nr. 101</w:t>
              </w:r>
            </w:hyperlink>
            <w:r w:rsidRPr="00F66C4F">
              <w:rPr>
                <w:rFonts w:asciiTheme="majorBidi" w:eastAsia="Times New Roman" w:hAnsiTheme="majorBidi" w:cstheme="majorBidi"/>
                <w:color w:val="333333"/>
                <w:sz w:val="18"/>
                <w:szCs w:val="18"/>
                <w:lang w:val="da-DK"/>
              </w:rPr>
              <w:t xml:space="preserve"> (i kraft 1 </w:t>
            </w:r>
            <w:proofErr w:type="spellStart"/>
            <w:r w:rsidRPr="00F66C4F">
              <w:rPr>
                <w:rFonts w:asciiTheme="majorBidi" w:eastAsia="Times New Roman" w:hAnsiTheme="majorBidi" w:cstheme="majorBidi"/>
                <w:color w:val="333333"/>
                <w:sz w:val="18"/>
                <w:szCs w:val="18"/>
                <w:lang w:val="da-DK"/>
              </w:rPr>
              <w:t>aug</w:t>
            </w:r>
            <w:proofErr w:type="spellEnd"/>
            <w:r w:rsidRPr="00F66C4F">
              <w:rPr>
                <w:rFonts w:asciiTheme="majorBidi" w:eastAsia="Times New Roman" w:hAnsiTheme="majorBidi" w:cstheme="majorBidi"/>
                <w:color w:val="333333"/>
                <w:sz w:val="18"/>
                <w:szCs w:val="18"/>
                <w:lang w:val="da-DK"/>
              </w:rPr>
              <w:t xml:space="preserve"> 2025 iflg. </w:t>
            </w:r>
            <w:hyperlink r:id="rId9" w:history="1">
              <w:r w:rsidRPr="00F66C4F">
                <w:rPr>
                  <w:rFonts w:asciiTheme="majorBidi" w:eastAsia="Times New Roman" w:hAnsiTheme="majorBidi" w:cstheme="majorBidi"/>
                  <w:color w:val="DB142C"/>
                  <w:sz w:val="18"/>
                  <w:szCs w:val="18"/>
                  <w:u w:val="single"/>
                </w:rPr>
                <w:t>res. 20 juni 2025 nr. 1092</w:t>
              </w:r>
            </w:hyperlink>
            <w:r w:rsidRPr="00F66C4F">
              <w:rPr>
                <w:rFonts w:asciiTheme="majorBidi" w:eastAsia="Times New Roman" w:hAnsiTheme="majorBidi" w:cstheme="majorBidi"/>
                <w:color w:val="333333"/>
                <w:sz w:val="18"/>
                <w:szCs w:val="18"/>
              </w:rPr>
              <w:t>).</w:t>
            </w:r>
          </w:p>
        </w:tc>
      </w:tr>
    </w:tbl>
    <w:p w:rsidR="00F66C4F" w:rsidRPr="00F66C4F" w:rsidRDefault="00F66C4F" w:rsidP="00F66C4F">
      <w:pPr>
        <w:shd w:val="clear" w:color="auto" w:fill="FFFFFF"/>
        <w:spacing w:before="150" w:after="150"/>
        <w:outlineLvl w:val="2"/>
        <w:rPr>
          <w:rFonts w:asciiTheme="majorBidi" w:eastAsia="Times New Roman" w:hAnsiTheme="majorBidi" w:cstheme="majorBidi"/>
          <w:color w:val="333333"/>
          <w:sz w:val="27"/>
          <w:szCs w:val="27"/>
        </w:rPr>
      </w:pPr>
      <w:bookmarkStart w:id="7" w:name="§11-10"/>
      <w:bookmarkStart w:id="8" w:name="PARAGRAF_11-10"/>
      <w:bookmarkEnd w:id="7"/>
      <w:bookmarkEnd w:id="8"/>
      <w:r w:rsidRPr="00F66C4F">
        <w:rPr>
          <w:rFonts w:asciiTheme="majorBidi" w:eastAsia="Times New Roman" w:hAnsiTheme="majorBidi" w:cstheme="majorBidi"/>
          <w:b/>
          <w:bCs/>
          <w:color w:val="333333"/>
          <w:sz w:val="27"/>
          <w:szCs w:val="27"/>
        </w:rPr>
        <w:t>§ 11-10.</w:t>
      </w:r>
      <w:r w:rsidRPr="00F66C4F">
        <w:rPr>
          <w:rFonts w:asciiTheme="majorBidi" w:eastAsia="Times New Roman" w:hAnsiTheme="majorBidi" w:cstheme="majorBidi"/>
          <w:b/>
          <w:bCs/>
          <w:i/>
          <w:iCs/>
          <w:color w:val="333333"/>
          <w:sz w:val="27"/>
          <w:szCs w:val="27"/>
        </w:rPr>
        <w:t>Klage på karakter</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rPr>
        <w:t>En student kan klage skriftlig på sensurvedtaket sitt innen tre uker etter at eksamensresultatet er kunngjort. Dersom studenten har krevd begrunnelse etter </w:t>
      </w:r>
      <w:hyperlink r:id="rId10" w:history="1">
        <w:r w:rsidRPr="00F66C4F">
          <w:rPr>
            <w:rFonts w:asciiTheme="majorBidi" w:eastAsia="Times New Roman" w:hAnsiTheme="majorBidi" w:cstheme="majorBidi"/>
            <w:color w:val="DB142C"/>
            <w:sz w:val="23"/>
            <w:szCs w:val="23"/>
            <w:u w:val="single"/>
          </w:rPr>
          <w:t>§ 11-8</w:t>
        </w:r>
      </w:hyperlink>
      <w:r w:rsidRPr="00F66C4F">
        <w:rPr>
          <w:rFonts w:asciiTheme="majorBidi" w:eastAsia="Times New Roman" w:hAnsiTheme="majorBidi" w:cstheme="majorBidi"/>
          <w:color w:val="333333"/>
          <w:sz w:val="23"/>
          <w:szCs w:val="23"/>
        </w:rPr>
        <w:t> eller klaget på formelle feil etter </w:t>
      </w:r>
      <w:hyperlink r:id="rId11" w:history="1">
        <w:r w:rsidRPr="00F66C4F">
          <w:rPr>
            <w:rFonts w:asciiTheme="majorBidi" w:eastAsia="Times New Roman" w:hAnsiTheme="majorBidi" w:cstheme="majorBidi"/>
            <w:color w:val="DB142C"/>
            <w:sz w:val="23"/>
            <w:szCs w:val="23"/>
            <w:u w:val="single"/>
          </w:rPr>
          <w:t>§ 11-9</w:t>
        </w:r>
      </w:hyperlink>
      <w:r w:rsidRPr="00F66C4F">
        <w:rPr>
          <w:rFonts w:asciiTheme="majorBidi" w:eastAsia="Times New Roman" w:hAnsiTheme="majorBidi" w:cstheme="majorBidi"/>
          <w:color w:val="333333"/>
          <w:sz w:val="23"/>
          <w:szCs w:val="23"/>
        </w:rPr>
        <w:t>, løper klagefristen fra studenten har fått begrunnelsen for karakteren eller resultatet av klagen på formelle feil.</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rPr>
        <w:t>Det er individuell klagerett ved gruppeeksamen. En endring av karakter etter klage ved gruppeeksamen vil bare gjelde for den som har klaget.</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rPr>
        <w:t>Ved bruk av løpende vurdering kan institusjonen bestemme om studenten kan klage på karakteren på den enkelte prestasjonen, eller om studenten bare kan klage på sensurvedtaket for emnet.</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rPr>
        <w:t>Sensur av muntlig prestasjon, praksis og lignende som etter sin art ikke lar seg etterprøve, kan ikke påklages.</w:t>
      </w:r>
    </w:p>
    <w:tbl>
      <w:tblPr>
        <w:tblW w:w="12605" w:type="dxa"/>
        <w:tblCellMar>
          <w:top w:w="15" w:type="dxa"/>
          <w:left w:w="15" w:type="dxa"/>
          <w:bottom w:w="15" w:type="dxa"/>
          <w:right w:w="15" w:type="dxa"/>
        </w:tblCellMar>
        <w:tblLook w:val="04A0" w:firstRow="1" w:lastRow="0" w:firstColumn="1" w:lastColumn="0" w:noHBand="0" w:noVBand="1"/>
      </w:tblPr>
      <w:tblGrid>
        <w:gridCol w:w="630"/>
        <w:gridCol w:w="11975"/>
      </w:tblGrid>
      <w:tr w:rsidR="00F66C4F" w:rsidRPr="00F66C4F" w:rsidTr="00F66C4F">
        <w:tc>
          <w:tcPr>
            <w:tcW w:w="630" w:type="dxa"/>
            <w:shd w:val="clear" w:color="auto" w:fill="auto"/>
            <w:noWrap/>
            <w:tcMar>
              <w:top w:w="60" w:type="dxa"/>
              <w:left w:w="15" w:type="dxa"/>
              <w:bottom w:w="15" w:type="dxa"/>
              <w:right w:w="15" w:type="dxa"/>
            </w:tcMar>
            <w:hideMark/>
          </w:tcPr>
          <w:p w:rsidR="00F66C4F" w:rsidRPr="00F66C4F" w:rsidRDefault="00F66C4F" w:rsidP="00F66C4F">
            <w:pPr>
              <w:spacing w:before="75" w:line="240" w:lineRule="atLeast"/>
              <w:jc w:val="right"/>
              <w:rPr>
                <w:rFonts w:asciiTheme="majorBidi" w:eastAsia="Times New Roman" w:hAnsiTheme="majorBidi" w:cstheme="majorBidi"/>
                <w:color w:val="666666"/>
                <w:sz w:val="18"/>
                <w:szCs w:val="18"/>
              </w:rPr>
            </w:pPr>
            <w:r w:rsidRPr="00F66C4F">
              <w:rPr>
                <w:rFonts w:asciiTheme="majorBidi" w:eastAsia="Times New Roman" w:hAnsiTheme="majorBidi" w:cstheme="majorBidi"/>
                <w:color w:val="666666"/>
                <w:sz w:val="18"/>
                <w:szCs w:val="18"/>
              </w:rPr>
              <w:t>0</w:t>
            </w:r>
          </w:p>
        </w:tc>
        <w:tc>
          <w:tcPr>
            <w:tcW w:w="0" w:type="auto"/>
            <w:shd w:val="clear" w:color="auto" w:fill="auto"/>
            <w:tcMar>
              <w:top w:w="60" w:type="dxa"/>
              <w:left w:w="120" w:type="dxa"/>
              <w:bottom w:w="15" w:type="dxa"/>
              <w:right w:w="15" w:type="dxa"/>
            </w:tcMar>
            <w:hideMark/>
          </w:tcPr>
          <w:p w:rsidR="00F66C4F" w:rsidRPr="00F66C4F" w:rsidRDefault="00F66C4F" w:rsidP="00F66C4F">
            <w:pPr>
              <w:spacing w:before="75" w:line="240" w:lineRule="atLeast"/>
              <w:rPr>
                <w:rFonts w:asciiTheme="majorBidi" w:eastAsia="Times New Roman" w:hAnsiTheme="majorBidi" w:cstheme="majorBidi"/>
                <w:color w:val="333333"/>
                <w:sz w:val="18"/>
                <w:szCs w:val="18"/>
              </w:rPr>
            </w:pPr>
            <w:proofErr w:type="spellStart"/>
            <w:r w:rsidRPr="00F66C4F">
              <w:rPr>
                <w:rFonts w:asciiTheme="majorBidi" w:eastAsia="Times New Roman" w:hAnsiTheme="majorBidi" w:cstheme="majorBidi"/>
                <w:color w:val="333333"/>
                <w:sz w:val="18"/>
                <w:szCs w:val="18"/>
                <w:lang w:val="da-DK"/>
              </w:rPr>
              <w:t>Endret</w:t>
            </w:r>
            <w:proofErr w:type="spellEnd"/>
            <w:r w:rsidRPr="00F66C4F">
              <w:rPr>
                <w:rFonts w:asciiTheme="majorBidi" w:eastAsia="Times New Roman" w:hAnsiTheme="majorBidi" w:cstheme="majorBidi"/>
                <w:color w:val="333333"/>
                <w:sz w:val="18"/>
                <w:szCs w:val="18"/>
                <w:lang w:val="da-DK"/>
              </w:rPr>
              <w:t xml:space="preserve"> ved lov </w:t>
            </w:r>
            <w:hyperlink r:id="rId12" w:history="1">
              <w:r w:rsidRPr="00F66C4F">
                <w:rPr>
                  <w:rFonts w:asciiTheme="majorBidi" w:eastAsia="Times New Roman" w:hAnsiTheme="majorBidi" w:cstheme="majorBidi"/>
                  <w:color w:val="DB142C"/>
                  <w:sz w:val="18"/>
                  <w:szCs w:val="18"/>
                  <w:u w:val="single"/>
                  <w:lang w:val="da-DK"/>
                </w:rPr>
                <w:t>20 juni 2025 nr. 101</w:t>
              </w:r>
            </w:hyperlink>
            <w:r w:rsidRPr="00F66C4F">
              <w:rPr>
                <w:rFonts w:asciiTheme="majorBidi" w:eastAsia="Times New Roman" w:hAnsiTheme="majorBidi" w:cstheme="majorBidi"/>
                <w:color w:val="333333"/>
                <w:sz w:val="18"/>
                <w:szCs w:val="18"/>
                <w:lang w:val="da-DK"/>
              </w:rPr>
              <w:t xml:space="preserve"> (i kraft 1 </w:t>
            </w:r>
            <w:proofErr w:type="spellStart"/>
            <w:r w:rsidRPr="00F66C4F">
              <w:rPr>
                <w:rFonts w:asciiTheme="majorBidi" w:eastAsia="Times New Roman" w:hAnsiTheme="majorBidi" w:cstheme="majorBidi"/>
                <w:color w:val="333333"/>
                <w:sz w:val="18"/>
                <w:szCs w:val="18"/>
                <w:lang w:val="da-DK"/>
              </w:rPr>
              <w:t>aug</w:t>
            </w:r>
            <w:proofErr w:type="spellEnd"/>
            <w:r w:rsidRPr="00F66C4F">
              <w:rPr>
                <w:rFonts w:asciiTheme="majorBidi" w:eastAsia="Times New Roman" w:hAnsiTheme="majorBidi" w:cstheme="majorBidi"/>
                <w:color w:val="333333"/>
                <w:sz w:val="18"/>
                <w:szCs w:val="18"/>
                <w:lang w:val="da-DK"/>
              </w:rPr>
              <w:t xml:space="preserve"> 2025 iflg. </w:t>
            </w:r>
            <w:hyperlink r:id="rId13" w:history="1">
              <w:r w:rsidRPr="00F66C4F">
                <w:rPr>
                  <w:rFonts w:asciiTheme="majorBidi" w:eastAsia="Times New Roman" w:hAnsiTheme="majorBidi" w:cstheme="majorBidi"/>
                  <w:color w:val="DB142C"/>
                  <w:sz w:val="18"/>
                  <w:szCs w:val="18"/>
                  <w:u w:val="single"/>
                </w:rPr>
                <w:t>res. 20 juni 2025 nr. 1092</w:t>
              </w:r>
            </w:hyperlink>
            <w:r w:rsidRPr="00F66C4F">
              <w:rPr>
                <w:rFonts w:asciiTheme="majorBidi" w:eastAsia="Times New Roman" w:hAnsiTheme="majorBidi" w:cstheme="majorBidi"/>
                <w:color w:val="333333"/>
                <w:sz w:val="18"/>
                <w:szCs w:val="18"/>
              </w:rPr>
              <w:t>).</w:t>
            </w:r>
          </w:p>
        </w:tc>
      </w:tr>
    </w:tbl>
    <w:p w:rsidR="00F66C4F" w:rsidRPr="00F66C4F" w:rsidRDefault="00F66C4F" w:rsidP="00F66C4F">
      <w:pPr>
        <w:shd w:val="clear" w:color="auto" w:fill="FFFFFF"/>
        <w:spacing w:before="150" w:after="150"/>
        <w:outlineLvl w:val="2"/>
        <w:rPr>
          <w:rFonts w:asciiTheme="majorBidi" w:eastAsia="Times New Roman" w:hAnsiTheme="majorBidi" w:cstheme="majorBidi"/>
          <w:color w:val="333333"/>
          <w:sz w:val="27"/>
          <w:szCs w:val="27"/>
        </w:rPr>
      </w:pPr>
      <w:bookmarkStart w:id="9" w:name="§11-11"/>
      <w:bookmarkStart w:id="10" w:name="PARAGRAF_11-11"/>
      <w:bookmarkEnd w:id="9"/>
      <w:bookmarkEnd w:id="10"/>
      <w:r w:rsidRPr="00F66C4F">
        <w:rPr>
          <w:rFonts w:asciiTheme="majorBidi" w:eastAsia="Times New Roman" w:hAnsiTheme="majorBidi" w:cstheme="majorBidi"/>
          <w:b/>
          <w:bCs/>
          <w:color w:val="333333"/>
          <w:sz w:val="27"/>
          <w:szCs w:val="27"/>
        </w:rPr>
        <w:t>§ 11-11.</w:t>
      </w:r>
      <w:r w:rsidRPr="00F66C4F">
        <w:rPr>
          <w:rFonts w:asciiTheme="majorBidi" w:eastAsia="Times New Roman" w:hAnsiTheme="majorBidi" w:cstheme="majorBidi"/>
          <w:b/>
          <w:bCs/>
          <w:i/>
          <w:iCs/>
          <w:color w:val="333333"/>
          <w:sz w:val="27"/>
          <w:szCs w:val="27"/>
        </w:rPr>
        <w:t>Gjennomføring av klagesensur</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rPr>
        <w:t>Dersom en student klager på karakteren, skal universiteter og høyskoler gjennomføre en klagesensur uten ugrunnet opphold.</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highlight w:val="yellow"/>
        </w:rPr>
        <w:t>Det skal være minst to nye sensorer, hvorav minst én ekstern, ved klagesensuren. Sensorene skal ikke få opprinnelig karakter, opprinnelig sensors begrunnelse for denne eller studentens begrunnelse for klagen.</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rPr>
        <w:lastRenderedPageBreak/>
        <w:t>I klagesensuren kan karakteren endres både til gunst og ugunst for studenten. Dersom karakteren i klagesensuren avviker med to eller flere karakterer fra karakteren i den opprinnelige sensuren, skal institusjonen vurdere saken på nytt før den endelige karakteren fastsettes.</w:t>
      </w:r>
    </w:p>
    <w:p w:rsidR="00F66C4F" w:rsidRPr="00F66C4F" w:rsidRDefault="00F66C4F" w:rsidP="00F66C4F">
      <w:pPr>
        <w:shd w:val="clear" w:color="auto" w:fill="FFFFFF"/>
        <w:spacing w:before="225"/>
        <w:ind w:firstLine="490"/>
        <w:rPr>
          <w:rFonts w:asciiTheme="majorBidi" w:eastAsia="Times New Roman" w:hAnsiTheme="majorBidi" w:cstheme="majorBidi"/>
          <w:color w:val="333333"/>
          <w:sz w:val="23"/>
          <w:szCs w:val="23"/>
        </w:rPr>
      </w:pPr>
      <w:r w:rsidRPr="00F66C4F">
        <w:rPr>
          <w:rFonts w:asciiTheme="majorBidi" w:eastAsia="Times New Roman" w:hAnsiTheme="majorBidi" w:cstheme="majorBidi"/>
          <w:color w:val="333333"/>
          <w:sz w:val="23"/>
          <w:szCs w:val="23"/>
        </w:rPr>
        <w:t>Dersom det opprinnelige sensurvedtaket var fastsatt på grunnlag av både skriftlig og muntlig eksamen og karakteren på den skriftlige delen av eksamen endres ved ny sensur, skal institusjonen avholde en ny muntlig eksamen for å fastsette den endelige karakteren.</w:t>
      </w:r>
    </w:p>
    <w:p w:rsidR="009653B0" w:rsidRPr="00F66C4F" w:rsidRDefault="009653B0">
      <w:pPr>
        <w:rPr>
          <w:rFonts w:asciiTheme="majorBidi" w:hAnsiTheme="majorBidi" w:cstheme="majorBidi"/>
        </w:rPr>
      </w:pPr>
    </w:p>
    <w:sectPr w:rsidR="009653B0" w:rsidRPr="00F66C4F" w:rsidSect="002F0B0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C4F"/>
    <w:rsid w:val="002509B5"/>
    <w:rsid w:val="002F0B04"/>
    <w:rsid w:val="00517015"/>
    <w:rsid w:val="009653B0"/>
    <w:rsid w:val="00DE2024"/>
    <w:rsid w:val="00F66C4F"/>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D54DE"/>
  <w14:defaultImageDpi w14:val="32767"/>
  <w15:chartTrackingRefBased/>
  <w15:docId w15:val="{2D15610A-FF7C-794B-AC8E-30B8FA64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nb-NO"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Overskrift3">
    <w:name w:val="heading 3"/>
    <w:basedOn w:val="Normal"/>
    <w:link w:val="Overskrift3Tegn"/>
    <w:uiPriority w:val="9"/>
    <w:qFormat/>
    <w:rsid w:val="00F66C4F"/>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foravsnitt"/>
    <w:link w:val="Overskrift3"/>
    <w:uiPriority w:val="9"/>
    <w:rsid w:val="00F66C4F"/>
    <w:rPr>
      <w:rFonts w:ascii="Times New Roman" w:eastAsia="Times New Roman" w:hAnsi="Times New Roman" w:cs="Times New Roman"/>
      <w:b/>
      <w:bCs/>
      <w:sz w:val="27"/>
      <w:szCs w:val="27"/>
    </w:rPr>
  </w:style>
  <w:style w:type="character" w:styleId="Utheving">
    <w:name w:val="Emphasis"/>
    <w:basedOn w:val="Standardskriftforavsnitt"/>
    <w:uiPriority w:val="20"/>
    <w:qFormat/>
    <w:rsid w:val="00F66C4F"/>
    <w:rPr>
      <w:i/>
      <w:iCs/>
    </w:rPr>
  </w:style>
  <w:style w:type="paragraph" w:customStyle="1" w:styleId="mortaga">
    <w:name w:val="mortag_a"/>
    <w:basedOn w:val="Normal"/>
    <w:rsid w:val="00F66C4F"/>
    <w:pPr>
      <w:spacing w:before="100" w:beforeAutospacing="1" w:after="100" w:afterAutospacing="1"/>
    </w:pPr>
    <w:rPr>
      <w:rFonts w:ascii="Times New Roman" w:eastAsia="Times New Roman" w:hAnsi="Times New Roman" w:cs="Times New Roman"/>
    </w:rPr>
  </w:style>
  <w:style w:type="character" w:styleId="Hyperkobling">
    <w:name w:val="Hyperlink"/>
    <w:basedOn w:val="Standardskriftforavsnitt"/>
    <w:uiPriority w:val="99"/>
    <w:semiHidden/>
    <w:unhideWhenUsed/>
    <w:rsid w:val="00F66C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39928">
      <w:bodyDiv w:val="1"/>
      <w:marLeft w:val="0"/>
      <w:marRight w:val="0"/>
      <w:marTop w:val="0"/>
      <w:marBottom w:val="0"/>
      <w:divBdr>
        <w:top w:val="none" w:sz="0" w:space="0" w:color="auto"/>
        <w:left w:val="none" w:sz="0" w:space="0" w:color="auto"/>
        <w:bottom w:val="none" w:sz="0" w:space="0" w:color="auto"/>
        <w:right w:val="none" w:sz="0" w:space="0" w:color="auto"/>
      </w:divBdr>
      <w:divsChild>
        <w:div w:id="1204176024">
          <w:marLeft w:val="-300"/>
          <w:marRight w:val="-300"/>
          <w:marTop w:val="0"/>
          <w:marBottom w:val="150"/>
          <w:divBdr>
            <w:top w:val="none" w:sz="0" w:space="0" w:color="auto"/>
            <w:left w:val="none" w:sz="0" w:space="0" w:color="auto"/>
            <w:bottom w:val="none" w:sz="0" w:space="0" w:color="auto"/>
            <w:right w:val="none" w:sz="0" w:space="0" w:color="auto"/>
          </w:divBdr>
        </w:div>
        <w:div w:id="307252004">
          <w:marLeft w:val="-300"/>
          <w:marRight w:val="-300"/>
          <w:marTop w:val="0"/>
          <w:marBottom w:val="150"/>
          <w:divBdr>
            <w:top w:val="none" w:sz="0" w:space="0" w:color="auto"/>
            <w:left w:val="none" w:sz="0" w:space="0" w:color="auto"/>
            <w:bottom w:val="none" w:sz="0" w:space="0" w:color="auto"/>
            <w:right w:val="none" w:sz="0" w:space="0" w:color="auto"/>
          </w:divBdr>
        </w:div>
        <w:div w:id="946691378">
          <w:marLeft w:val="-300"/>
          <w:marRight w:val="-300"/>
          <w:marTop w:val="0"/>
          <w:marBottom w:val="150"/>
          <w:divBdr>
            <w:top w:val="none" w:sz="0" w:space="0" w:color="auto"/>
            <w:left w:val="none" w:sz="0" w:space="0" w:color="auto"/>
            <w:bottom w:val="none" w:sz="0" w:space="0" w:color="auto"/>
            <w:right w:val="none" w:sz="0" w:space="0" w:color="auto"/>
          </w:divBdr>
        </w:div>
        <w:div w:id="1160997108">
          <w:marLeft w:val="-300"/>
          <w:marRight w:val="-300"/>
          <w:marTop w:val="0"/>
          <w:marBottom w:val="150"/>
          <w:divBdr>
            <w:top w:val="none" w:sz="0" w:space="0" w:color="auto"/>
            <w:left w:val="none" w:sz="0" w:space="0" w:color="auto"/>
            <w:bottom w:val="none" w:sz="0" w:space="0" w:color="auto"/>
            <w:right w:val="none" w:sz="0" w:space="0" w:color="auto"/>
          </w:divBdr>
        </w:div>
        <w:div w:id="941301071">
          <w:marLeft w:val="-300"/>
          <w:marRight w:val="-300"/>
          <w:marTop w:val="0"/>
          <w:marBottom w:val="150"/>
          <w:divBdr>
            <w:top w:val="none" w:sz="0" w:space="0" w:color="auto"/>
            <w:left w:val="none" w:sz="0" w:space="0" w:color="auto"/>
            <w:bottom w:val="none" w:sz="0" w:space="0" w:color="auto"/>
            <w:right w:val="none" w:sz="0" w:space="0" w:color="auto"/>
          </w:divBdr>
        </w:div>
        <w:div w:id="2055765501">
          <w:marLeft w:val="-300"/>
          <w:marRight w:val="-30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vdata.no/LTI/lov/2025-06-20-101" TargetMode="External"/><Relationship Id="rId13" Type="http://schemas.openxmlformats.org/officeDocument/2006/relationships/hyperlink" Target="https://lovdata.no/LTI/forskrift/2025-06-20-1092" TargetMode="External"/><Relationship Id="rId3" Type="http://schemas.openxmlformats.org/officeDocument/2006/relationships/webSettings" Target="webSettings.xml"/><Relationship Id="rId7" Type="http://schemas.openxmlformats.org/officeDocument/2006/relationships/hyperlink" Target="https://lovdata.no/lov/2024-03-08-9/%C2%A714-1" TargetMode="External"/><Relationship Id="rId12" Type="http://schemas.openxmlformats.org/officeDocument/2006/relationships/hyperlink" Target="https://lovdata.no/LTI/lov/2025-06-20-10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vdata.no/lov/2024-03-08-9/%C2%A711-10" TargetMode="External"/><Relationship Id="rId11" Type="http://schemas.openxmlformats.org/officeDocument/2006/relationships/hyperlink" Target="https://lovdata.no/lov/2024-03-08-9/%C2%A711-9" TargetMode="External"/><Relationship Id="rId5" Type="http://schemas.openxmlformats.org/officeDocument/2006/relationships/hyperlink" Target="https://lovdata.no/lov/2024-03-08-9/%C2%A711-8" TargetMode="External"/><Relationship Id="rId15" Type="http://schemas.openxmlformats.org/officeDocument/2006/relationships/theme" Target="theme/theme1.xml"/><Relationship Id="rId10" Type="http://schemas.openxmlformats.org/officeDocument/2006/relationships/hyperlink" Target="https://lovdata.no/lov/2024-03-08-9/%C2%A711-8" TargetMode="External"/><Relationship Id="rId4" Type="http://schemas.openxmlformats.org/officeDocument/2006/relationships/hyperlink" Target="https://lovdata.no/lov/2024-03-08-9/%C2%A711-10" TargetMode="External"/><Relationship Id="rId9" Type="http://schemas.openxmlformats.org/officeDocument/2006/relationships/hyperlink" Target="https://lovdata.no/LTI/forskrift/2025-06-20-1092" TargetMode="Externa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1121</Words>
  <Characters>5947</Characters>
  <Application>Microsoft Office Word</Application>
  <DocSecurity>0</DocSecurity>
  <Lines>49</Lines>
  <Paragraphs>14</Paragraphs>
  <ScaleCrop>false</ScaleCrop>
  <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cp:lastPrinted>2025-12-10T10:55:00Z</cp:lastPrinted>
  <dcterms:created xsi:type="dcterms:W3CDTF">2025-12-10T10:43:00Z</dcterms:created>
  <dcterms:modified xsi:type="dcterms:W3CDTF">2026-01-02T16:43:00Z</dcterms:modified>
</cp:coreProperties>
</file>