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8B9B64" w14:textId="77777777" w:rsidR="00591324" w:rsidRDefault="00591324" w:rsidP="00591324">
      <w:pPr>
        <w:pStyle w:val="Heading1"/>
        <w:spacing w:line="240" w:lineRule="auto"/>
        <w:rPr>
          <w:lang w:val="en-US"/>
        </w:rPr>
      </w:pPr>
      <w:r>
        <w:rPr>
          <w:lang w:val="en-US"/>
        </w:rPr>
        <w:t xml:space="preserve">Dealing with Time Series of Unequal Length in </w:t>
      </w:r>
      <w:r w:rsidRPr="006213AB">
        <w:rPr>
          <w:lang w:val="en-US"/>
        </w:rPr>
        <w:t>Dynamic Structural Equation Models</w:t>
      </w:r>
    </w:p>
    <w:p w14:paraId="50A4412B" w14:textId="302E90A7" w:rsidR="00B42A62" w:rsidRPr="00B42A62" w:rsidRDefault="00B42A62" w:rsidP="00B42A62">
      <w:pPr>
        <w:rPr>
          <w:lang w:val="en-US"/>
        </w:rPr>
      </w:pPr>
      <w:r>
        <w:rPr>
          <w:lang w:val="en-US"/>
        </w:rPr>
        <w:t>Supervisor: Øystein Sørensen</w:t>
      </w:r>
    </w:p>
    <w:p w14:paraId="78D50BB0" w14:textId="0DC90558" w:rsidR="00591324" w:rsidRDefault="00591324" w:rsidP="00591324">
      <w:pPr>
        <w:rPr>
          <w:lang w:val="en-US"/>
        </w:rPr>
      </w:pPr>
      <w:r>
        <w:rPr>
          <w:lang w:val="en-US"/>
        </w:rPr>
        <w:t xml:space="preserve">Dynamic structural equation models </w:t>
      </w:r>
      <w:r>
        <w:rPr>
          <w:lang w:val="en-US"/>
        </w:rPr>
        <w:fldChar w:fldCharType="begin"/>
      </w:r>
      <w:r>
        <w:rPr>
          <w:lang w:val="en-US"/>
        </w:rPr>
        <w:instrText xml:space="preserve"> ADDIN ZOTERO_ITEM CSL_CITATION {"citationID":"K2NgYr3C","properties":{"formattedCitation":"(Asparouhov et al., 2018)","plainCitation":"(Asparouhov et al., 2018)","noteIndex":0},"citationItems":[{"id":1476,"uris":["http://zotero.org/users/7047754/items/N2PWRDF6"],"itemData":{"id":1476,"type":"article-journal","abstract":"This article presents dynamic structural equation modeling (DSEM), which can be used to study the evolution of observed and latent variables as well as the structural equation models over time. DSEM is suitable for analyzing intensive longitudinal data where observations from multiple individuals are collected at many points in time. The modeling framework encompasses previously published DSEM models and is a comprehensive attempt to combine time-series modeling with structural equation modeling. DSEM is estimated with Bayesian methods using the Markov chain Monte Carlo Gibbs sampler and the Metropolis–Hastings sampler. We provide a detailed description of the estimation algorithm as implemented in the Mplus software package. DSEM can be used for longitudinal analysis of any duration and with any number of observations across time. Simulation studies are used to illustrate the framework and study the performance of the estimation method. Methods for evaluating model fit are also discussed.","container-title":"Structural Equation Modeling: A Multidisciplinary Journal","DOI":"10.1080/10705511.2017.1406803","ISSN":"1070-5511","issue":"3","note":"publisher: Routledge\n_eprint: https://doi.org/10.1080/10705511.2017.1406803","page":"359-388","source":"Taylor and Francis+NEJM","title":"Dynamic Structural Equation Models","volume":"25","author":[{"family":"Asparouhov","given":"Tihomir"},{"family":"Hamaker","given":"Ellen L."},{"family":"Muthén","given":"Bengt"}],"issued":{"date-parts":[["2018",5,4]]}}}],"schema":"https://github.com/citation-style-language/schema/raw/master/csl-citation.json"} </w:instrText>
      </w:r>
      <w:r>
        <w:rPr>
          <w:lang w:val="en-US"/>
        </w:rPr>
        <w:fldChar w:fldCharType="separate"/>
      </w:r>
      <w:r>
        <w:rPr>
          <w:noProof/>
          <w:lang w:val="en-US"/>
        </w:rPr>
        <w:t>(Asparouhov et al., 2018)</w:t>
      </w:r>
      <w:r>
        <w:rPr>
          <w:lang w:val="en-US"/>
        </w:rPr>
        <w:fldChar w:fldCharType="end"/>
      </w:r>
      <w:r>
        <w:rPr>
          <w:lang w:val="en-US"/>
        </w:rPr>
        <w:t xml:space="preserve"> have become extremely popular for analyzing intense longitudinal data in psychology and education research. Intense longitudinal data are characterized by many observations per individual, typically from the hundreds to tens of thousands. Examples include studying how children learn math through </w:t>
      </w:r>
      <w:r w:rsidR="00651D57">
        <w:rPr>
          <w:lang w:val="en-US"/>
        </w:rPr>
        <w:t>learning</w:t>
      </w:r>
      <w:r>
        <w:rPr>
          <w:lang w:val="en-US"/>
        </w:rPr>
        <w:t xml:space="preserve"> apps </w:t>
      </w:r>
      <w:r>
        <w:rPr>
          <w:lang w:val="en-US"/>
        </w:rPr>
        <w:fldChar w:fldCharType="begin"/>
      </w:r>
      <w:r>
        <w:rPr>
          <w:lang w:val="en-US"/>
        </w:rPr>
        <w:instrText xml:space="preserve"> ADDIN ZOTERO_ITEM CSL_CITATION {"citationID":"pY8xD8Uc","properties":{"formattedCitation":"(Judd et al., 2024)","plainCitation":"(Judd et al., 2024)","noteIndex":0},"citationItems":[{"id":3954,"uris":["http://zotero.org/users/7047754/items/2IZIA4HQ"],"itemData":{"id":3954,"type":"article-journal","abstract":"The Journal of Cognition, the official journal of the European Society for Cognitive Psychology, publishes reviews, empirical articles (including registered reports), data reports, stimulus development reports, comments, and methodological notes relevant to all areas of cognitive psychology, including attention, memory, perception, psycholinguistics, and reasoning. We also publish cross-disciplinary research if we judge that it has clear implications for development of cognitive psychological theories. As a signatory of the Center for Open Science's Transparency and Openness Promotion guidelines, we value methodological rigour and transparent scientific practices. We welcome submissions from scholars working anywhere in the world.","container-title":"Journal of Cognition","DOI":"10.5334/joc.371","ISSN":"2514-4820","issue":"1","language":"en-US","source":"journalofcognition.org","title":"Interindividual Differences in Cognitive Variability Are Ubiquitous and Distinct From Mean Performance in a Battery of Eleven Tasks","URL":"https://journalofcognition.org/articles/10.5334/joc.371","volume":"7","author":[{"family":"Judd","given":"Nicholas"},{"family":"Aristodemou","given":"Michael"},{"family":"Klingberg","given":"Torkel"},{"family":"Kievit","given":"Rogier"}],"accessed":{"date-parts":[["2024",8,27]]},"issued":{"date-parts":[["2024",5,21]]}}}],"schema":"https://github.com/citation-style-language/schema/raw/master/csl-citation.json"} </w:instrText>
      </w:r>
      <w:r>
        <w:rPr>
          <w:lang w:val="en-US"/>
        </w:rPr>
        <w:fldChar w:fldCharType="separate"/>
      </w:r>
      <w:r>
        <w:rPr>
          <w:noProof/>
          <w:lang w:val="en-US"/>
        </w:rPr>
        <w:t>(Judd et al., 2024)</w:t>
      </w:r>
      <w:r>
        <w:rPr>
          <w:lang w:val="en-US"/>
        </w:rPr>
        <w:fldChar w:fldCharType="end"/>
      </w:r>
      <w:r>
        <w:rPr>
          <w:lang w:val="en-US"/>
        </w:rPr>
        <w:t xml:space="preserve"> and studying how certain patterns in the neural signals in the brain leads to more or less accurate performance in cognitive tasks </w:t>
      </w:r>
      <w:r>
        <w:rPr>
          <w:lang w:val="en-US"/>
        </w:rPr>
        <w:fldChar w:fldCharType="begin"/>
      </w:r>
      <w:r>
        <w:rPr>
          <w:lang w:val="en-US"/>
        </w:rPr>
        <w:instrText xml:space="preserve"> ADDIN ZOTERO_ITEM CSL_CITATION {"citationID":"y649AAjT","properties":{"formattedCitation":"(McCormick &amp; Kievit, 2023)","plainCitation":"(McCormick &amp; Kievit, 2023)","noteIndex":0},"citationItems":[{"id":1399,"uris":["http://zotero.org/users/7047754/items/4LGPHESJ"],"itemData":{"id":1399,"type":"article-journal","abstract":"Most prior research has focused on characterizing averages in cognition, brain characteristics, or behavior, and attempting to predict differences in these averages among individuals. However, this overwhelming focus on mean levels may leave us with an incomplete picture of what drives individual differences in behavioral phenotypes by ignoring the variability of behavior around an individual's mean. In particular, enhanced white matter (WM) structural microstructure has been hypothesized to support consistent behavioral performance by decreasing Gaussian noise in signal transfer. Conversely, lower indices of WM microstructure are associated with greater within-subject variance in the ability to deploy performance-related resources, especially in clinical populations. We tested a mechanistic account of the “neural noise” hypothesis in a large adult lifespan cohort (Cambridge Centre for Ageing and Neuroscience) with over 2500 adults (ages 18-102; 1508 female; 1173 male; 2681 behavioral sessions; 708 MRI scans) using WM fractional anisotropy to predict mean levels and variability in reaction time performance on a simple behavioral task using a dynamic structural equation model. By modeling robust and reliable individual differences in within-person variability, we found support for a neural noise hypothesis (Kail, 1997), with lower fractional anisotropy predicted individual differences in separable components of behavioral performance estimated using dynamic structural equation model, including slower mean responses and increased variability. These effects remained when including age, suggesting consistent effects of WM microstructure across the adult lifespan unique from concurrent effects of aging. Crucially, we show that variability can be reliably separated from mean performance using advanced modeling tools, enabling tests of distinct hypotheses for each component of performance.\nSIGNIFICANCE STATEMENT Human cognitive performance is defined not just by the long-run average, but trial-to-trial variability around that average. However, investigations of cognitive abilities and changes during aging have largely ignored this variability component of behavior. We provide evidence that white matter (WM) microstructure predicts individual differences in mean performance and variability in a sample spanning the adult lifespan (18-102). Unlike prior studies of cognitive performance and variability, we modeled variability directly and distinct from mean performance using a dynamic structural equation model, which allows us to decouple variability from mean performance and other complex features of performance (e.g., autoregression). The effects of WM were robust above the effect of age, highlighting the role of WM in promoting fast and consistent performance.","container-title":"Journal of Neuroscience","DOI":"10.1523/JNEUROSCI.1042-22.2023","ISSN":"0270-6474, 1529-2401","issue":"19","journalAbbreviation":"J. Neurosci.","language":"en","license":"Copyright © 2023 McCormick et al.. This is an open-access article distributed under the terms of the Creative Commons Attribution 4.0 International license, which permits unrestricted use, distribution and reproduction in any medium provided that the original work is properly attributed.","note":"publisher: Society for Neuroscience\nsection: Research Articles\nPMID: 37028933","page":"3557-3566","source":"www.jneurosci.org","title":"Poorer White Matter Microstructure Predicts Slower and More Variable Reaction Time Performance: Evidence for a Neural Noise Hypothesis in a Large Lifespan Cohort","title-short":"Poorer White Matter Microstructure Predicts Slower and More Variable Reaction Time Performance","volume":"43","author":[{"family":"McCormick","given":"Ethan M."},{"family":"Kievit","given":"Rogier A."}],"issued":{"date-parts":[["2023",5,10]]}}}],"schema":"https://github.com/citation-style-language/schema/raw/master/csl-citation.json"} </w:instrText>
      </w:r>
      <w:r>
        <w:rPr>
          <w:lang w:val="en-US"/>
        </w:rPr>
        <w:fldChar w:fldCharType="separate"/>
      </w:r>
      <w:r>
        <w:rPr>
          <w:noProof/>
          <w:lang w:val="en-US"/>
        </w:rPr>
        <w:t>(McCormick &amp; Kievit, 2023)</w:t>
      </w:r>
      <w:r>
        <w:rPr>
          <w:lang w:val="en-US"/>
        </w:rPr>
        <w:fldChar w:fldCharType="end"/>
      </w:r>
      <w:r>
        <w:rPr>
          <w:lang w:val="en-US"/>
        </w:rPr>
        <w:t>.</w:t>
      </w:r>
    </w:p>
    <w:p w14:paraId="202E6044" w14:textId="77777777" w:rsidR="00591324" w:rsidRDefault="00591324" w:rsidP="00591324">
      <w:pPr>
        <w:rPr>
          <w:lang w:val="en-US"/>
        </w:rPr>
      </w:pPr>
      <w:r>
        <w:rPr>
          <w:lang w:val="en-US"/>
        </w:rPr>
        <w:t xml:space="preserve">Mathematically, dynamic structural equation models are hierarchical time series models, in which observations from </w:t>
      </w:r>
      <w:proofErr w:type="gramStart"/>
      <w:r>
        <w:rPr>
          <w:lang w:val="en-US"/>
        </w:rPr>
        <w:t>each individual</w:t>
      </w:r>
      <w:proofErr w:type="gramEnd"/>
      <w:r>
        <w:rPr>
          <w:lang w:val="en-US"/>
        </w:rPr>
        <w:t xml:space="preserve"> make up a multivariate time series whose parameters characterize its autocorrelation, cross-correlation, noise, and trends. The higher levels contain models for the time series parameters, for example relating the autocorrelation parameters to covariates of interest or interventions. </w:t>
      </w:r>
    </w:p>
    <w:p w14:paraId="2E2FD7D0" w14:textId="77777777" w:rsidR="00591324" w:rsidRDefault="00591324" w:rsidP="00591324">
      <w:pPr>
        <w:rPr>
          <w:lang w:val="en-US"/>
        </w:rPr>
      </w:pPr>
      <w:r>
        <w:rPr>
          <w:lang w:val="en-US"/>
        </w:rPr>
        <w:t>One unresolved problem in dynamic structural equation modeling relates to the fact that individuals (at level 1 in the hierarchical model) can have both:</w:t>
      </w:r>
    </w:p>
    <w:p w14:paraId="7C77087F" w14:textId="77777777" w:rsidR="00591324" w:rsidRDefault="00591324" w:rsidP="00591324">
      <w:pPr>
        <w:pStyle w:val="ListParagraph"/>
        <w:numPr>
          <w:ilvl w:val="0"/>
          <w:numId w:val="2"/>
        </w:numPr>
        <w:rPr>
          <w:lang w:val="en-US"/>
        </w:rPr>
      </w:pPr>
      <w:r>
        <w:rPr>
          <w:lang w:val="en-US"/>
        </w:rPr>
        <w:t>Widely different number of timepoints.</w:t>
      </w:r>
    </w:p>
    <w:p w14:paraId="7D8DEA57" w14:textId="77777777" w:rsidR="00591324" w:rsidRDefault="00591324" w:rsidP="00591324">
      <w:pPr>
        <w:pStyle w:val="ListParagraph"/>
        <w:numPr>
          <w:ilvl w:val="0"/>
          <w:numId w:val="2"/>
        </w:numPr>
        <w:rPr>
          <w:lang w:val="en-US"/>
        </w:rPr>
      </w:pPr>
      <w:r>
        <w:rPr>
          <w:lang w:val="en-US"/>
        </w:rPr>
        <w:t>Different intervals between their own timepoints.</w:t>
      </w:r>
    </w:p>
    <w:p w14:paraId="486415B3" w14:textId="77777777" w:rsidR="00591324" w:rsidRPr="000F4A95" w:rsidRDefault="00591324" w:rsidP="00591324">
      <w:pPr>
        <w:pStyle w:val="ListParagraph"/>
        <w:numPr>
          <w:ilvl w:val="0"/>
          <w:numId w:val="2"/>
        </w:numPr>
        <w:rPr>
          <w:lang w:val="en-US"/>
        </w:rPr>
      </w:pPr>
      <w:r>
        <w:rPr>
          <w:lang w:val="en-US"/>
        </w:rPr>
        <w:t>Different intervals compared to the other participant’s timepoints.</w:t>
      </w:r>
    </w:p>
    <w:p w14:paraId="42A144E0" w14:textId="77777777" w:rsidR="00591324" w:rsidRDefault="00591324" w:rsidP="00591324">
      <w:pPr>
        <w:rPr>
          <w:lang w:val="en-US"/>
        </w:rPr>
      </w:pPr>
      <w:r>
        <w:rPr>
          <w:lang w:val="en-US"/>
        </w:rPr>
        <w:t xml:space="preserve">This unavoidably leads to bias in the estimated timeseries parameters, but both the extent of this bias and how to model our way out of it is quite unknown. </w:t>
      </w:r>
    </w:p>
    <w:p w14:paraId="3FDC1ED7" w14:textId="77777777" w:rsidR="00591324" w:rsidRDefault="00591324" w:rsidP="00591324">
      <w:pPr>
        <w:rPr>
          <w:lang w:val="en-US"/>
        </w:rPr>
      </w:pPr>
      <w:r>
        <w:rPr>
          <w:lang w:val="en-US"/>
        </w:rPr>
        <w:t>The aim of this project is to understand the consequences of the problem, using datasets from real applications to guide us, and to try out and compare various approach for fixing it. Key ingredients will be:</w:t>
      </w:r>
    </w:p>
    <w:p w14:paraId="7A97F34C" w14:textId="77777777" w:rsidR="00591324" w:rsidRDefault="00591324" w:rsidP="00591324">
      <w:pPr>
        <w:pStyle w:val="ListParagraph"/>
        <w:numPr>
          <w:ilvl w:val="0"/>
          <w:numId w:val="1"/>
        </w:numPr>
        <w:rPr>
          <w:lang w:val="en-US"/>
        </w:rPr>
      </w:pPr>
      <w:r>
        <w:rPr>
          <w:lang w:val="en-US"/>
        </w:rPr>
        <w:t>Getting a good grasp of dynamic structural equation models and how to estimate them using Stan (</w:t>
      </w:r>
      <w:hyperlink r:id="rId5" w:history="1">
        <w:r w:rsidRPr="002641D2">
          <w:rPr>
            <w:rStyle w:val="Hyperlink"/>
            <w:lang w:val="en-US"/>
          </w:rPr>
          <w:t>https://mc-stan.org/</w:t>
        </w:r>
      </w:hyperlink>
      <w:r>
        <w:rPr>
          <w:lang w:val="en-US"/>
        </w:rPr>
        <w:t xml:space="preserve">). </w:t>
      </w:r>
    </w:p>
    <w:p w14:paraId="325D989B" w14:textId="77777777" w:rsidR="00591324" w:rsidRDefault="00591324" w:rsidP="00591324">
      <w:pPr>
        <w:pStyle w:val="ListParagraph"/>
        <w:numPr>
          <w:ilvl w:val="0"/>
          <w:numId w:val="1"/>
        </w:numPr>
        <w:rPr>
          <w:lang w:val="en-US"/>
        </w:rPr>
      </w:pPr>
      <w:r>
        <w:rPr>
          <w:lang w:val="en-US"/>
        </w:rPr>
        <w:t>Conducting simulations for understanding the consequences of ignoring the timepoint heterogeneity mentioned in the points above.</w:t>
      </w:r>
    </w:p>
    <w:p w14:paraId="4BB43EA9" w14:textId="77777777" w:rsidR="00591324" w:rsidRPr="00EE6636" w:rsidRDefault="00591324" w:rsidP="00591324">
      <w:pPr>
        <w:pStyle w:val="ListParagraph"/>
        <w:numPr>
          <w:ilvl w:val="0"/>
          <w:numId w:val="1"/>
        </w:numPr>
        <w:rPr>
          <w:lang w:val="en-US"/>
        </w:rPr>
      </w:pPr>
      <w:r>
        <w:rPr>
          <w:lang w:val="en-US"/>
        </w:rPr>
        <w:t>Write Stan code testing out various ideas for fixing the problem, possibly including use of Kalman filters, imputation, or analytical corrections.</w:t>
      </w:r>
    </w:p>
    <w:p w14:paraId="5CD4B6C1" w14:textId="77777777" w:rsidR="00591324" w:rsidRDefault="00591324" w:rsidP="00591324">
      <w:pPr>
        <w:rPr>
          <w:lang w:val="en-US"/>
        </w:rPr>
      </w:pPr>
      <w:r>
        <w:rPr>
          <w:lang w:val="en-US"/>
        </w:rPr>
        <w:t xml:space="preserve">The project is part of an ongoing collaboration with professor Rogier </w:t>
      </w:r>
      <w:proofErr w:type="spellStart"/>
      <w:r>
        <w:rPr>
          <w:lang w:val="en-US"/>
        </w:rPr>
        <w:t>Kievit</w:t>
      </w:r>
      <w:proofErr w:type="spellEnd"/>
      <w:r>
        <w:rPr>
          <w:lang w:val="en-US"/>
        </w:rPr>
        <w:t xml:space="preserve"> at Radboud University and associate professor Ethan McCormick at the University of Delaware, and certainly has the potential to lead to a scientific publication. We will have access to various datasets for testing out the methods.</w:t>
      </w:r>
    </w:p>
    <w:p w14:paraId="6773F063" w14:textId="77777777" w:rsidR="00591324" w:rsidRDefault="00591324" w:rsidP="00591324">
      <w:pPr>
        <w:pStyle w:val="Heading2"/>
        <w:rPr>
          <w:lang w:val="en-US"/>
        </w:rPr>
      </w:pPr>
      <w:r>
        <w:rPr>
          <w:lang w:val="en-US"/>
        </w:rPr>
        <w:lastRenderedPageBreak/>
        <w:t>Short Bio of the Supervisor</w:t>
      </w:r>
    </w:p>
    <w:p w14:paraId="65DA03D8" w14:textId="77777777" w:rsidR="00591324" w:rsidRDefault="00591324" w:rsidP="00591324">
      <w:pPr>
        <w:rPr>
          <w:lang w:val="en-US"/>
        </w:rPr>
      </w:pPr>
      <w:r>
        <w:rPr>
          <w:lang w:val="en-US"/>
        </w:rPr>
        <w:t xml:space="preserve">I am professor of statistics in the Department of Psychology, with a particular interest in computational methods and software development, both in the Bayesian and frequentist settings. A bit more info can be found here: </w:t>
      </w:r>
      <w:hyperlink r:id="rId6" w:history="1">
        <w:r w:rsidRPr="002641D2">
          <w:rPr>
            <w:rStyle w:val="Hyperlink"/>
            <w:lang w:val="en-US"/>
          </w:rPr>
          <w:t>https://osorensen.rbind.io/</w:t>
        </w:r>
      </w:hyperlink>
      <w:r>
        <w:rPr>
          <w:lang w:val="en-US"/>
        </w:rPr>
        <w:t>. I have experience supervising both master’s and PhD students. Feel free to reach out in case you have any questions you would like to discuss.</w:t>
      </w:r>
    </w:p>
    <w:p w14:paraId="77D2554D" w14:textId="77777777" w:rsidR="00591324" w:rsidRPr="008673C0" w:rsidRDefault="00591324" w:rsidP="00591324">
      <w:pPr>
        <w:rPr>
          <w:lang w:val="en-US"/>
        </w:rPr>
      </w:pPr>
    </w:p>
    <w:p w14:paraId="5B1F5106" w14:textId="77777777" w:rsidR="00591324" w:rsidRPr="008673C0" w:rsidRDefault="00591324" w:rsidP="00591324">
      <w:pPr>
        <w:pStyle w:val="Heading2"/>
        <w:spacing w:line="240" w:lineRule="auto"/>
        <w:rPr>
          <w:lang w:val="en-US"/>
        </w:rPr>
      </w:pPr>
      <w:r w:rsidRPr="008673C0">
        <w:rPr>
          <w:lang w:val="en-US"/>
        </w:rPr>
        <w:t>References</w:t>
      </w:r>
    </w:p>
    <w:p w14:paraId="5B743C27" w14:textId="77777777" w:rsidR="00591324" w:rsidRPr="008673C0" w:rsidRDefault="00591324" w:rsidP="00591324">
      <w:pPr>
        <w:pStyle w:val="Bibliography"/>
        <w:spacing w:line="240" w:lineRule="auto"/>
        <w:rPr>
          <w:rFonts w:ascii="Aptos"/>
          <w:lang w:val="en-GB"/>
        </w:rPr>
      </w:pPr>
      <w:r>
        <w:rPr>
          <w:lang w:val="en-US"/>
        </w:rPr>
        <w:fldChar w:fldCharType="begin"/>
      </w:r>
      <w:r w:rsidRPr="008673C0">
        <w:rPr>
          <w:lang w:val="en-US"/>
        </w:rPr>
        <w:instrText xml:space="preserve"> ADDIN ZOTERO_BIBL {"uncited":[],"omitted":[],"custom":[]} CSL_BIBLIOGRAPHY </w:instrText>
      </w:r>
      <w:r>
        <w:rPr>
          <w:lang w:val="en-US"/>
        </w:rPr>
        <w:fldChar w:fldCharType="separate"/>
      </w:r>
      <w:proofErr w:type="spellStart"/>
      <w:r w:rsidRPr="008673C0">
        <w:rPr>
          <w:rFonts w:ascii="Aptos"/>
          <w:lang w:val="en-US"/>
        </w:rPr>
        <w:t>Asparouhov</w:t>
      </w:r>
      <w:proofErr w:type="spellEnd"/>
      <w:r w:rsidRPr="008673C0">
        <w:rPr>
          <w:rFonts w:ascii="Aptos"/>
          <w:lang w:val="en-US"/>
        </w:rPr>
        <w:t xml:space="preserve">, T., Hamaker, E. L., &amp; </w:t>
      </w:r>
      <w:proofErr w:type="spellStart"/>
      <w:r w:rsidRPr="008673C0">
        <w:rPr>
          <w:rFonts w:ascii="Aptos"/>
          <w:lang w:val="en-US"/>
        </w:rPr>
        <w:t>Muthén</w:t>
      </w:r>
      <w:proofErr w:type="spellEnd"/>
      <w:r w:rsidRPr="008673C0">
        <w:rPr>
          <w:rFonts w:ascii="Aptos"/>
          <w:lang w:val="en-US"/>
        </w:rPr>
        <w:t xml:space="preserve">, B. (2018). Dynamic Structural Equation Models. </w:t>
      </w:r>
      <w:r w:rsidRPr="008673C0">
        <w:rPr>
          <w:rFonts w:ascii="Aptos"/>
          <w:i/>
          <w:iCs/>
          <w:lang w:val="en-US"/>
        </w:rPr>
        <w:t>Structural Equation Mod</w:t>
      </w:r>
      <w:proofErr w:type="spellStart"/>
      <w:r w:rsidRPr="008673C0">
        <w:rPr>
          <w:rFonts w:ascii="Aptos"/>
          <w:i/>
          <w:iCs/>
          <w:lang w:val="en-GB"/>
        </w:rPr>
        <w:t>eling</w:t>
      </w:r>
      <w:proofErr w:type="spellEnd"/>
      <w:r w:rsidRPr="008673C0">
        <w:rPr>
          <w:rFonts w:ascii="Aptos"/>
          <w:i/>
          <w:iCs/>
          <w:lang w:val="en-GB"/>
        </w:rPr>
        <w:t>: A Multidisciplinary Journal</w:t>
      </w:r>
      <w:r w:rsidRPr="008673C0">
        <w:rPr>
          <w:rFonts w:ascii="Aptos"/>
          <w:lang w:val="en-GB"/>
        </w:rPr>
        <w:t xml:space="preserve">, </w:t>
      </w:r>
      <w:r w:rsidRPr="008673C0">
        <w:rPr>
          <w:rFonts w:ascii="Aptos"/>
          <w:i/>
          <w:iCs/>
          <w:lang w:val="en-GB"/>
        </w:rPr>
        <w:t>25</w:t>
      </w:r>
      <w:r w:rsidRPr="008673C0">
        <w:rPr>
          <w:rFonts w:ascii="Aptos"/>
          <w:lang w:val="en-GB"/>
        </w:rPr>
        <w:t>(3), 359–388. https://doi.org/10.1080/10705511.2017.1406803</w:t>
      </w:r>
    </w:p>
    <w:p w14:paraId="1534905E" w14:textId="77777777" w:rsidR="00591324" w:rsidRPr="008673C0" w:rsidRDefault="00591324" w:rsidP="00591324">
      <w:pPr>
        <w:pStyle w:val="Bibliography"/>
        <w:spacing w:line="240" w:lineRule="auto"/>
        <w:rPr>
          <w:rFonts w:ascii="Aptos"/>
          <w:lang w:val="en-GB"/>
        </w:rPr>
      </w:pPr>
      <w:r w:rsidRPr="008673C0">
        <w:rPr>
          <w:rFonts w:ascii="Aptos"/>
          <w:lang w:val="en-GB"/>
        </w:rPr>
        <w:t xml:space="preserve">Dai, C., Heng, J., Jacob, P. E., &amp; Whiteley, N. (2022). An Invitation to Sequential Monte Carlo Samplers. </w:t>
      </w:r>
      <w:r w:rsidRPr="008673C0">
        <w:rPr>
          <w:rFonts w:ascii="Aptos"/>
          <w:i/>
          <w:iCs/>
          <w:lang w:val="en-GB"/>
        </w:rPr>
        <w:t>Journal of the American Statistical Association</w:t>
      </w:r>
      <w:r w:rsidRPr="008673C0">
        <w:rPr>
          <w:rFonts w:ascii="Aptos"/>
          <w:lang w:val="en-GB"/>
        </w:rPr>
        <w:t xml:space="preserve">, </w:t>
      </w:r>
      <w:r w:rsidRPr="008673C0">
        <w:rPr>
          <w:rFonts w:ascii="Aptos"/>
          <w:i/>
          <w:iCs/>
          <w:lang w:val="en-GB"/>
        </w:rPr>
        <w:t>117</w:t>
      </w:r>
      <w:r w:rsidRPr="008673C0">
        <w:rPr>
          <w:rFonts w:ascii="Aptos"/>
          <w:lang w:val="en-GB"/>
        </w:rPr>
        <w:t>(539), 1587–1600. https://doi.org/10.1080/01621459.2022.2087659</w:t>
      </w:r>
    </w:p>
    <w:p w14:paraId="1C9324B7" w14:textId="77777777" w:rsidR="00591324" w:rsidRPr="008673C0" w:rsidRDefault="00591324" w:rsidP="00591324">
      <w:pPr>
        <w:pStyle w:val="Bibliography"/>
        <w:spacing w:line="240" w:lineRule="auto"/>
        <w:rPr>
          <w:rFonts w:ascii="Aptos"/>
          <w:lang w:val="en-GB"/>
        </w:rPr>
      </w:pPr>
      <w:r w:rsidRPr="008673C0">
        <w:rPr>
          <w:rFonts w:ascii="Aptos"/>
          <w:lang w:val="en-GB"/>
        </w:rPr>
        <w:t xml:space="preserve">Judd, N., </w:t>
      </w:r>
      <w:proofErr w:type="spellStart"/>
      <w:r w:rsidRPr="008673C0">
        <w:rPr>
          <w:rFonts w:ascii="Aptos"/>
          <w:lang w:val="en-GB"/>
        </w:rPr>
        <w:t>Aristodemou</w:t>
      </w:r>
      <w:proofErr w:type="spellEnd"/>
      <w:r w:rsidRPr="008673C0">
        <w:rPr>
          <w:rFonts w:ascii="Aptos"/>
          <w:lang w:val="en-GB"/>
        </w:rPr>
        <w:t xml:space="preserve">, M., Klingberg, T., &amp; </w:t>
      </w:r>
      <w:proofErr w:type="spellStart"/>
      <w:r w:rsidRPr="008673C0">
        <w:rPr>
          <w:rFonts w:ascii="Aptos"/>
          <w:lang w:val="en-GB"/>
        </w:rPr>
        <w:t>Kievit</w:t>
      </w:r>
      <w:proofErr w:type="spellEnd"/>
      <w:r w:rsidRPr="008673C0">
        <w:rPr>
          <w:rFonts w:ascii="Aptos"/>
          <w:lang w:val="en-GB"/>
        </w:rPr>
        <w:t xml:space="preserve">, R. (2024). Interindividual Differences in Cognitive Variability Are Ubiquitous and Distinct </w:t>
      </w:r>
      <w:proofErr w:type="gramStart"/>
      <w:r w:rsidRPr="008673C0">
        <w:rPr>
          <w:rFonts w:ascii="Aptos"/>
          <w:lang w:val="en-GB"/>
        </w:rPr>
        <w:t>From</w:t>
      </w:r>
      <w:proofErr w:type="gramEnd"/>
      <w:r w:rsidRPr="008673C0">
        <w:rPr>
          <w:rFonts w:ascii="Aptos"/>
          <w:lang w:val="en-GB"/>
        </w:rPr>
        <w:t xml:space="preserve"> Mean Performance in a Battery of Eleven Tasks. </w:t>
      </w:r>
      <w:r w:rsidRPr="008673C0">
        <w:rPr>
          <w:rFonts w:ascii="Aptos"/>
          <w:i/>
          <w:iCs/>
          <w:lang w:val="en-GB"/>
        </w:rPr>
        <w:t>Journal of Cognition</w:t>
      </w:r>
      <w:r w:rsidRPr="008673C0">
        <w:rPr>
          <w:rFonts w:ascii="Aptos"/>
          <w:lang w:val="en-GB"/>
        </w:rPr>
        <w:t xml:space="preserve">, </w:t>
      </w:r>
      <w:r w:rsidRPr="008673C0">
        <w:rPr>
          <w:rFonts w:ascii="Aptos"/>
          <w:i/>
          <w:iCs/>
          <w:lang w:val="en-GB"/>
        </w:rPr>
        <w:t>7</w:t>
      </w:r>
      <w:r w:rsidRPr="008673C0">
        <w:rPr>
          <w:rFonts w:ascii="Aptos"/>
          <w:lang w:val="en-GB"/>
        </w:rPr>
        <w:t>(1). https://doi.org/10.5334/joc.371</w:t>
      </w:r>
    </w:p>
    <w:p w14:paraId="53F44DA8" w14:textId="77777777" w:rsidR="00591324" w:rsidRPr="008673C0" w:rsidRDefault="00591324" w:rsidP="00591324">
      <w:pPr>
        <w:pStyle w:val="Bibliography"/>
        <w:spacing w:line="240" w:lineRule="auto"/>
        <w:rPr>
          <w:rFonts w:ascii="Aptos"/>
          <w:lang w:val="en-GB"/>
        </w:rPr>
      </w:pPr>
      <w:r w:rsidRPr="008673C0">
        <w:rPr>
          <w:rFonts w:ascii="Aptos"/>
          <w:lang w:val="en-GB"/>
        </w:rPr>
        <w:t xml:space="preserve">McCormick, E. M., &amp; </w:t>
      </w:r>
      <w:proofErr w:type="spellStart"/>
      <w:r w:rsidRPr="008673C0">
        <w:rPr>
          <w:rFonts w:ascii="Aptos"/>
          <w:lang w:val="en-GB"/>
        </w:rPr>
        <w:t>Kievit</w:t>
      </w:r>
      <w:proofErr w:type="spellEnd"/>
      <w:r w:rsidRPr="008673C0">
        <w:rPr>
          <w:rFonts w:ascii="Aptos"/>
          <w:lang w:val="en-GB"/>
        </w:rPr>
        <w:t xml:space="preserve">, R. A. (2023). Poorer White Matter Microstructure Predicts Slower and More Variable Reaction Time Performance: Evidence for a Neural Noise Hypothesis in a Large Lifespan Cohort. </w:t>
      </w:r>
      <w:r w:rsidRPr="008673C0">
        <w:rPr>
          <w:rFonts w:ascii="Aptos"/>
          <w:i/>
          <w:iCs/>
          <w:lang w:val="en-GB"/>
        </w:rPr>
        <w:t>Journal of Neuroscience</w:t>
      </w:r>
      <w:r w:rsidRPr="008673C0">
        <w:rPr>
          <w:rFonts w:ascii="Aptos"/>
          <w:lang w:val="en-GB"/>
        </w:rPr>
        <w:t xml:space="preserve">, </w:t>
      </w:r>
      <w:r w:rsidRPr="008673C0">
        <w:rPr>
          <w:rFonts w:ascii="Aptos"/>
          <w:i/>
          <w:iCs/>
          <w:lang w:val="en-GB"/>
        </w:rPr>
        <w:t>43</w:t>
      </w:r>
      <w:r w:rsidRPr="008673C0">
        <w:rPr>
          <w:rFonts w:ascii="Aptos"/>
          <w:lang w:val="en-GB"/>
        </w:rPr>
        <w:t>(19), 3557–3566. https://doi.org/10.1523/JNEUROSCI.1042-22.2023</w:t>
      </w:r>
    </w:p>
    <w:p w14:paraId="5E540351" w14:textId="77777777" w:rsidR="00591324" w:rsidRPr="008673C0" w:rsidRDefault="00591324" w:rsidP="00591324">
      <w:pPr>
        <w:pStyle w:val="Bibliography"/>
        <w:spacing w:line="240" w:lineRule="auto"/>
        <w:rPr>
          <w:rFonts w:ascii="Aptos"/>
          <w:lang w:val="en-GB"/>
        </w:rPr>
      </w:pPr>
      <w:proofErr w:type="spellStart"/>
      <w:r w:rsidRPr="008673C0">
        <w:rPr>
          <w:rFonts w:ascii="Aptos"/>
          <w:lang w:val="en-GB"/>
        </w:rPr>
        <w:t>Naesseth</w:t>
      </w:r>
      <w:proofErr w:type="spellEnd"/>
      <w:r w:rsidRPr="008673C0">
        <w:rPr>
          <w:rFonts w:ascii="Aptos"/>
          <w:lang w:val="en-GB"/>
        </w:rPr>
        <w:t xml:space="preserve">, C. A., </w:t>
      </w:r>
      <w:proofErr w:type="spellStart"/>
      <w:r w:rsidRPr="008673C0">
        <w:rPr>
          <w:rFonts w:ascii="Aptos"/>
          <w:lang w:val="en-GB"/>
        </w:rPr>
        <w:t>Lindsten</w:t>
      </w:r>
      <w:proofErr w:type="spellEnd"/>
      <w:r w:rsidRPr="008673C0">
        <w:rPr>
          <w:rFonts w:ascii="Aptos"/>
          <w:lang w:val="en-GB"/>
        </w:rPr>
        <w:t xml:space="preserve">, F., &amp; Schön, T. B. (2019). Elements of Sequential Monte Carlo. </w:t>
      </w:r>
      <w:r w:rsidRPr="008673C0">
        <w:rPr>
          <w:rFonts w:ascii="Aptos"/>
          <w:i/>
          <w:iCs/>
          <w:lang w:val="en-GB"/>
        </w:rPr>
        <w:t>Foundations and Trends® in Machine Learning</w:t>
      </w:r>
      <w:r w:rsidRPr="008673C0">
        <w:rPr>
          <w:rFonts w:ascii="Aptos"/>
          <w:lang w:val="en-GB"/>
        </w:rPr>
        <w:t xml:space="preserve">, </w:t>
      </w:r>
      <w:r w:rsidRPr="008673C0">
        <w:rPr>
          <w:rFonts w:ascii="Aptos"/>
          <w:i/>
          <w:iCs/>
          <w:lang w:val="en-GB"/>
        </w:rPr>
        <w:t>12</w:t>
      </w:r>
      <w:r w:rsidRPr="008673C0">
        <w:rPr>
          <w:rFonts w:ascii="Aptos"/>
          <w:lang w:val="en-GB"/>
        </w:rPr>
        <w:t>(3), 307–392. https://doi.org/c</w:t>
      </w:r>
    </w:p>
    <w:p w14:paraId="581019BC" w14:textId="77777777" w:rsidR="00591324" w:rsidRPr="008673C0" w:rsidRDefault="00591324" w:rsidP="00591324">
      <w:pPr>
        <w:pStyle w:val="Bibliography"/>
        <w:spacing w:line="240" w:lineRule="auto"/>
        <w:rPr>
          <w:rFonts w:ascii="Aptos"/>
          <w:lang w:val="en-GB"/>
        </w:rPr>
      </w:pPr>
      <w:r w:rsidRPr="008673C0">
        <w:rPr>
          <w:rFonts w:ascii="Aptos"/>
          <w:lang w:val="en-GB"/>
        </w:rPr>
        <w:t xml:space="preserve">Schaaf, J., Sørensen, Ø., McCormick, E. M., </w:t>
      </w:r>
      <w:proofErr w:type="spellStart"/>
      <w:r w:rsidRPr="008673C0">
        <w:rPr>
          <w:rFonts w:ascii="Aptos"/>
          <w:lang w:val="en-GB"/>
        </w:rPr>
        <w:t>Aristodemou</w:t>
      </w:r>
      <w:proofErr w:type="spellEnd"/>
      <w:r w:rsidRPr="008673C0">
        <w:rPr>
          <w:rFonts w:ascii="Aptos"/>
          <w:lang w:val="en-GB"/>
        </w:rPr>
        <w:t xml:space="preserve">, M., &amp; </w:t>
      </w:r>
      <w:proofErr w:type="spellStart"/>
      <w:r w:rsidRPr="008673C0">
        <w:rPr>
          <w:rFonts w:ascii="Aptos"/>
          <w:lang w:val="en-GB"/>
        </w:rPr>
        <w:t>Kievit</w:t>
      </w:r>
      <w:proofErr w:type="spellEnd"/>
      <w:r w:rsidRPr="008673C0">
        <w:rPr>
          <w:rFonts w:ascii="Aptos"/>
          <w:lang w:val="en-GB"/>
        </w:rPr>
        <w:t xml:space="preserve">, R. (2024). </w:t>
      </w:r>
      <w:r w:rsidRPr="008673C0">
        <w:rPr>
          <w:rFonts w:ascii="Aptos"/>
          <w:i/>
          <w:iCs/>
          <w:lang w:val="en-GB"/>
        </w:rPr>
        <w:t xml:space="preserve">Advocating a New Default for Time Series </w:t>
      </w:r>
      <w:proofErr w:type="spellStart"/>
      <w:r w:rsidRPr="008673C0">
        <w:rPr>
          <w:rFonts w:ascii="Aptos"/>
          <w:i/>
          <w:iCs/>
          <w:lang w:val="en-GB"/>
        </w:rPr>
        <w:t>Modeling</w:t>
      </w:r>
      <w:proofErr w:type="spellEnd"/>
      <w:r w:rsidRPr="008673C0">
        <w:rPr>
          <w:rFonts w:ascii="Aptos"/>
          <w:i/>
          <w:iCs/>
          <w:lang w:val="en-GB"/>
        </w:rPr>
        <w:t>: Asymmetric Temporal Dynamics using Threshold Dynamics Parameters</w:t>
      </w:r>
      <w:r w:rsidRPr="008673C0">
        <w:rPr>
          <w:rFonts w:ascii="Aptos"/>
          <w:lang w:val="en-GB"/>
        </w:rPr>
        <w:t>. OSF. https://doi.org/10.31219/osf.io/3b5ra</w:t>
      </w:r>
    </w:p>
    <w:p w14:paraId="7CB81CEE" w14:textId="77777777" w:rsidR="00591324" w:rsidRPr="006213AB" w:rsidRDefault="00591324" w:rsidP="00591324">
      <w:pPr>
        <w:spacing w:line="240" w:lineRule="auto"/>
        <w:rPr>
          <w:lang w:val="en-US"/>
        </w:rPr>
      </w:pPr>
      <w:r>
        <w:rPr>
          <w:lang w:val="en-US"/>
        </w:rPr>
        <w:fldChar w:fldCharType="end"/>
      </w:r>
    </w:p>
    <w:p w14:paraId="41AF53E0" w14:textId="77777777" w:rsidR="006A3269" w:rsidRDefault="006A3269"/>
    <w:sectPr w:rsidR="006A32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687162"/>
    <w:multiLevelType w:val="hybridMultilevel"/>
    <w:tmpl w:val="10EEE3C4"/>
    <w:lvl w:ilvl="0" w:tplc="D16236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8B25B3"/>
    <w:multiLevelType w:val="hybridMultilevel"/>
    <w:tmpl w:val="26D877B0"/>
    <w:lvl w:ilvl="0" w:tplc="E0C2EC2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8282631">
    <w:abstractNumId w:val="1"/>
  </w:num>
  <w:num w:numId="2" w16cid:durableId="51540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69"/>
    <w:rsid w:val="00120FD2"/>
    <w:rsid w:val="00591324"/>
    <w:rsid w:val="00651D57"/>
    <w:rsid w:val="006A3269"/>
    <w:rsid w:val="00B42A62"/>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0E54CB2F"/>
  <w15:chartTrackingRefBased/>
  <w15:docId w15:val="{833D5AEF-6466-1F47-85BD-ECF752867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324"/>
  </w:style>
  <w:style w:type="paragraph" w:styleId="Heading1">
    <w:name w:val="heading 1"/>
    <w:basedOn w:val="Normal"/>
    <w:next w:val="Normal"/>
    <w:link w:val="Heading1Char"/>
    <w:uiPriority w:val="9"/>
    <w:qFormat/>
    <w:rsid w:val="006A32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32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2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2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2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2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2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2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2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2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32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2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2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2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2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2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2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269"/>
    <w:rPr>
      <w:rFonts w:eastAsiaTheme="majorEastAsia" w:cstheme="majorBidi"/>
      <w:color w:val="272727" w:themeColor="text1" w:themeTint="D8"/>
    </w:rPr>
  </w:style>
  <w:style w:type="paragraph" w:styleId="Title">
    <w:name w:val="Title"/>
    <w:basedOn w:val="Normal"/>
    <w:next w:val="Normal"/>
    <w:link w:val="TitleChar"/>
    <w:uiPriority w:val="10"/>
    <w:qFormat/>
    <w:rsid w:val="006A32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2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2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2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269"/>
    <w:pPr>
      <w:spacing w:before="160"/>
      <w:jc w:val="center"/>
    </w:pPr>
    <w:rPr>
      <w:i/>
      <w:iCs/>
      <w:color w:val="404040" w:themeColor="text1" w:themeTint="BF"/>
    </w:rPr>
  </w:style>
  <w:style w:type="character" w:customStyle="1" w:styleId="QuoteChar">
    <w:name w:val="Quote Char"/>
    <w:basedOn w:val="DefaultParagraphFont"/>
    <w:link w:val="Quote"/>
    <w:uiPriority w:val="29"/>
    <w:rsid w:val="006A3269"/>
    <w:rPr>
      <w:i/>
      <w:iCs/>
      <w:color w:val="404040" w:themeColor="text1" w:themeTint="BF"/>
    </w:rPr>
  </w:style>
  <w:style w:type="paragraph" w:styleId="ListParagraph">
    <w:name w:val="List Paragraph"/>
    <w:basedOn w:val="Normal"/>
    <w:uiPriority w:val="34"/>
    <w:qFormat/>
    <w:rsid w:val="006A3269"/>
    <w:pPr>
      <w:ind w:left="720"/>
      <w:contextualSpacing/>
    </w:pPr>
  </w:style>
  <w:style w:type="character" w:styleId="IntenseEmphasis">
    <w:name w:val="Intense Emphasis"/>
    <w:basedOn w:val="DefaultParagraphFont"/>
    <w:uiPriority w:val="21"/>
    <w:qFormat/>
    <w:rsid w:val="006A3269"/>
    <w:rPr>
      <w:i/>
      <w:iCs/>
      <w:color w:val="0F4761" w:themeColor="accent1" w:themeShade="BF"/>
    </w:rPr>
  </w:style>
  <w:style w:type="paragraph" w:styleId="IntenseQuote">
    <w:name w:val="Intense Quote"/>
    <w:basedOn w:val="Normal"/>
    <w:next w:val="Normal"/>
    <w:link w:val="IntenseQuoteChar"/>
    <w:uiPriority w:val="30"/>
    <w:qFormat/>
    <w:rsid w:val="006A32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269"/>
    <w:rPr>
      <w:i/>
      <w:iCs/>
      <w:color w:val="0F4761" w:themeColor="accent1" w:themeShade="BF"/>
    </w:rPr>
  </w:style>
  <w:style w:type="character" w:styleId="IntenseReference">
    <w:name w:val="Intense Reference"/>
    <w:basedOn w:val="DefaultParagraphFont"/>
    <w:uiPriority w:val="32"/>
    <w:qFormat/>
    <w:rsid w:val="006A3269"/>
    <w:rPr>
      <w:b/>
      <w:bCs/>
      <w:smallCaps/>
      <w:color w:val="0F4761" w:themeColor="accent1" w:themeShade="BF"/>
      <w:spacing w:val="5"/>
    </w:rPr>
  </w:style>
  <w:style w:type="paragraph" w:styleId="Bibliography">
    <w:name w:val="Bibliography"/>
    <w:basedOn w:val="Normal"/>
    <w:next w:val="Normal"/>
    <w:uiPriority w:val="37"/>
    <w:unhideWhenUsed/>
    <w:rsid w:val="00591324"/>
    <w:pPr>
      <w:spacing w:after="0" w:line="480" w:lineRule="auto"/>
      <w:ind w:left="720" w:hanging="720"/>
    </w:pPr>
  </w:style>
  <w:style w:type="character" w:styleId="Hyperlink">
    <w:name w:val="Hyperlink"/>
    <w:basedOn w:val="DefaultParagraphFont"/>
    <w:uiPriority w:val="99"/>
    <w:unhideWhenUsed/>
    <w:rsid w:val="0059132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orensen.rbind.io/" TargetMode="External"/><Relationship Id="rId5" Type="http://schemas.openxmlformats.org/officeDocument/2006/relationships/hyperlink" Target="https://mc-sta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1854</Words>
  <Characters>10573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Øystein Sørensen</dc:creator>
  <cp:keywords/>
  <dc:description/>
  <cp:lastModifiedBy>Øystein Sørensen</cp:lastModifiedBy>
  <cp:revision>3</cp:revision>
  <dcterms:created xsi:type="dcterms:W3CDTF">2024-10-22T13:47:00Z</dcterms:created>
  <dcterms:modified xsi:type="dcterms:W3CDTF">2024-10-22T15:45:00Z</dcterms:modified>
</cp:coreProperties>
</file>