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893" w:rsidRDefault="0034511D" w:rsidP="00A3595D">
      <w:pPr>
        <w:pStyle w:val="Heading1"/>
        <w:rPr>
          <w:b/>
        </w:rPr>
      </w:pPr>
      <w:bookmarkStart w:id="0" w:name="_GoBack"/>
      <w:bookmarkEnd w:id="0"/>
      <w:r w:rsidRPr="0025778E">
        <w:rPr>
          <w:b/>
        </w:rPr>
        <w:t>Internasjonalisering og studentmobilitet</w:t>
      </w:r>
      <w:r w:rsidR="0025778E" w:rsidRPr="0025778E">
        <w:rPr>
          <w:b/>
        </w:rPr>
        <w:t xml:space="preserve"> </w:t>
      </w:r>
    </w:p>
    <w:p w:rsidR="00FE5023" w:rsidRDefault="0025778E" w:rsidP="00A3595D">
      <w:pPr>
        <w:pStyle w:val="Heading1"/>
      </w:pPr>
      <w:r w:rsidRPr="0025778E">
        <w:rPr>
          <w:b/>
        </w:rPr>
        <w:t>arbeidsgruppe 2014</w:t>
      </w:r>
    </w:p>
    <w:p w:rsidR="00666893" w:rsidRDefault="00666893" w:rsidP="008C3015"/>
    <w:p w:rsidR="00775247" w:rsidRDefault="003333F0" w:rsidP="00A3595D">
      <w:r>
        <w:t>Studi</w:t>
      </w:r>
      <w:r w:rsidR="00006CF1">
        <w:t>edekan Solveig Kristensen satt våren 2014 ned</w:t>
      </w:r>
      <w:r>
        <w:t xml:space="preserve"> en arbeids</w:t>
      </w:r>
      <w:r w:rsidR="00A72743" w:rsidRPr="0025778E">
        <w:t xml:space="preserve">gruppe </w:t>
      </w:r>
      <w:r w:rsidR="006B17E1">
        <w:t>for å</w:t>
      </w:r>
      <w:r w:rsidR="00A72743" w:rsidRPr="0025778E">
        <w:t xml:space="preserve"> se på</w:t>
      </w:r>
      <w:r w:rsidR="007164A1" w:rsidRPr="0025778E">
        <w:t xml:space="preserve"> </w:t>
      </w:r>
      <w:r w:rsidR="00A72743" w:rsidRPr="0025778E">
        <w:t>internasjonalisering/studentutveksling i hele utdanningsløpet - fra bachelor</w:t>
      </w:r>
      <w:r w:rsidR="007164A1" w:rsidRPr="0025778E">
        <w:t xml:space="preserve"> </w:t>
      </w:r>
      <w:r w:rsidR="00A72743" w:rsidRPr="0025778E">
        <w:t xml:space="preserve">til PhD og over i </w:t>
      </w:r>
      <w:r w:rsidR="00C94843">
        <w:t>p</w:t>
      </w:r>
      <w:r w:rsidR="00A72743" w:rsidRPr="0025778E">
        <w:t>ostdoc/åre</w:t>
      </w:r>
      <w:r>
        <w:t xml:space="preserve">måls </w:t>
      </w:r>
      <w:r w:rsidR="00006CF1">
        <w:t xml:space="preserve">forskerstilling. </w:t>
      </w:r>
      <w:r>
        <w:t>Hun</w:t>
      </w:r>
      <w:r w:rsidR="00EB261D">
        <w:t xml:space="preserve"> ønsket</w:t>
      </w:r>
      <w:r w:rsidR="00A72743" w:rsidRPr="0025778E">
        <w:t xml:space="preserve"> å synliggjøre aktiviteter som eksisterer samtidig med å identifisere </w:t>
      </w:r>
      <w:r w:rsidR="007164A1" w:rsidRPr="0025778E">
        <w:t xml:space="preserve">faktorer som hindrer studenter og ansatte </w:t>
      </w:r>
      <w:r w:rsidR="00880A28">
        <w:t xml:space="preserve">i </w:t>
      </w:r>
      <w:r w:rsidR="007164A1" w:rsidRPr="0025778E">
        <w:t xml:space="preserve">å benytte seg av </w:t>
      </w:r>
      <w:r w:rsidR="00880A28">
        <w:t xml:space="preserve">disse </w:t>
      </w:r>
      <w:r w:rsidR="007164A1" w:rsidRPr="0025778E">
        <w:t>mulighete</w:t>
      </w:r>
      <w:r w:rsidR="00880A28">
        <w:t>ne</w:t>
      </w:r>
      <w:r w:rsidR="00006CF1">
        <w:t xml:space="preserve"> samt </w:t>
      </w:r>
      <w:r w:rsidR="007164A1" w:rsidRPr="0025778E">
        <w:t>utforske nye.</w:t>
      </w:r>
    </w:p>
    <w:p w:rsidR="003333F0" w:rsidRDefault="00006CF1" w:rsidP="00A3595D">
      <w:r>
        <w:t>I</w:t>
      </w:r>
      <w:r w:rsidR="007164A1" w:rsidRPr="0025778E">
        <w:t>nternasjonalisering er viktig for studente</w:t>
      </w:r>
      <w:r w:rsidR="00E458D2">
        <w:t xml:space="preserve">r og unge forskere fordi </w:t>
      </w:r>
      <w:r w:rsidR="001F292E" w:rsidRPr="0025778E">
        <w:t>både næring</w:t>
      </w:r>
      <w:r w:rsidR="00936ED5">
        <w:t>s</w:t>
      </w:r>
      <w:r w:rsidR="001F292E" w:rsidRPr="0025778E">
        <w:t xml:space="preserve">livet og forskningsmiljøene </w:t>
      </w:r>
      <w:r w:rsidR="0025778E" w:rsidRPr="0025778E">
        <w:t xml:space="preserve">innen realfag </w:t>
      </w:r>
      <w:r w:rsidR="001F292E" w:rsidRPr="0025778E">
        <w:t xml:space="preserve">er internasjonale og etterlyser internasjonal kompetanse hos kandidater. </w:t>
      </w:r>
      <w:r w:rsidR="0025778E">
        <w:t>For ba</w:t>
      </w:r>
      <w:r>
        <w:t>c</w:t>
      </w:r>
      <w:r w:rsidR="0025778E">
        <w:t>helor- og masterstudenter bid</w:t>
      </w:r>
      <w:r w:rsidR="00BC29D1">
        <w:t xml:space="preserve">rar internasjonalisering til </w:t>
      </w:r>
      <w:r w:rsidR="005B126B">
        <w:t xml:space="preserve">kulturkompetanse og personlig utvikling som er en del av fakultetets </w:t>
      </w:r>
      <w:r w:rsidR="005B6987">
        <w:t>utdanningsstrategi tilknyttet</w:t>
      </w:r>
      <w:r w:rsidR="00C510CF">
        <w:t xml:space="preserve"> våre kandidaters profesjonelle kompetanse, samt utvikling av </w:t>
      </w:r>
      <w:r w:rsidR="00C510CF" w:rsidRPr="0025778E">
        <w:t>Nasjonalt kvalifikasjonsrammeverk for liv</w:t>
      </w:r>
      <w:r w:rsidR="00C510CF">
        <w:t>s</w:t>
      </w:r>
      <w:r w:rsidR="00C510CF" w:rsidRPr="0025778E">
        <w:t>lang læring (NKV)</w:t>
      </w:r>
      <w:r w:rsidR="00BC29D1">
        <w:t xml:space="preserve"> generelle </w:t>
      </w:r>
      <w:r w:rsidR="00C510CF">
        <w:t>kompetansemål</w:t>
      </w:r>
      <w:r w:rsidR="00BC29D1">
        <w:t xml:space="preserve"> for formidling og kommunikasjon.</w:t>
      </w:r>
      <w:r w:rsidR="00C510CF">
        <w:t xml:space="preserve"> </w:t>
      </w:r>
      <w:r w:rsidR="00C510CF" w:rsidRPr="0025778E">
        <w:t xml:space="preserve">For PhD kandidater er det </w:t>
      </w:r>
      <w:r w:rsidR="00C510CF">
        <w:t xml:space="preserve">i tillegg </w:t>
      </w:r>
      <w:r w:rsidR="00C510CF" w:rsidRPr="0025778E">
        <w:t xml:space="preserve">fastsatt i </w:t>
      </w:r>
      <w:r w:rsidR="00C510CF">
        <w:t>NK</w:t>
      </w:r>
      <w:r w:rsidR="00D92D31">
        <w:t>V</w:t>
      </w:r>
      <w:r w:rsidR="00C510CF">
        <w:t xml:space="preserve"> </w:t>
      </w:r>
      <w:r w:rsidR="00C510CF" w:rsidRPr="0025778E">
        <w:t>at kandidater skal kunne delta i internasjonale kanaler og fora.</w:t>
      </w:r>
      <w:r w:rsidR="00880A28">
        <w:t xml:space="preserve"> UiOs Strategi 2020 vektlegger </w:t>
      </w:r>
      <w:r w:rsidR="00894A26">
        <w:t>internasjonalisering</w:t>
      </w:r>
      <w:r w:rsidR="00880A28">
        <w:t xml:space="preserve"> og studentutveksling, og fakultetet måles </w:t>
      </w:r>
      <w:r w:rsidR="00894A26">
        <w:t>årlig på dette som en rapporter</w:t>
      </w:r>
      <w:r w:rsidR="00880A28">
        <w:t>ingsparameter.</w:t>
      </w:r>
      <w:r w:rsidR="003333F0">
        <w:t xml:space="preserve"> </w:t>
      </w:r>
      <w:r w:rsidR="00C30633">
        <w:t xml:space="preserve">Strategien sier at UiO ‘skal legge til rette for en internasjonal campus for internasjonale forskere og studenter’ (side 7, </w:t>
      </w:r>
      <w:hyperlink r:id="rId9" w:history="1">
        <w:r w:rsidR="00C30633" w:rsidRPr="00C912E5">
          <w:rPr>
            <w:rStyle w:val="Hyperlink"/>
          </w:rPr>
          <w:t>http://www.uio.no/for-ansatte/organisasjon/strategi/internasjonaliseringsaret-2012/internasjonaliseringsaret-handlingsplan.pdf</w:t>
        </w:r>
      </w:hyperlink>
      <w:r w:rsidR="00C30633">
        <w:t>) Fakultetet har lavere tall for utveksling enn de andre store fakultetene ved UiO og lavere enn NTNU ifølge DBH rapporterte tall (</w:t>
      </w:r>
      <w:r w:rsidR="00C30633" w:rsidRPr="00666893">
        <w:t>Norsk samfunnsvitenskapelige datatjenestes (NSD) Database for statistikk om høgre utdanning)</w:t>
      </w:r>
      <w:r w:rsidR="00C30633">
        <w:t>.</w:t>
      </w:r>
      <w:r w:rsidR="003333F0">
        <w:fldChar w:fldCharType="begin"/>
      </w:r>
      <w:r w:rsidR="003333F0">
        <w:instrText xml:space="preserve"> ADDIN REFMGR.CITE &lt;Refman&gt;&lt;Cite&gt;&lt;Note&gt;Ifølge DBH rapporterte tall.&lt;/Note&gt;&lt;/Cite&gt;&lt;/Refman&gt;</w:instrText>
      </w:r>
      <w:r w:rsidR="003333F0">
        <w:fldChar w:fldCharType="end"/>
      </w:r>
    </w:p>
    <w:p w:rsidR="00775247" w:rsidRDefault="00775247" w:rsidP="00A3595D">
      <w:r>
        <w:t>Arbeidsgruppa skulle ikke se på behovet for eller viktigheten av studentmobilitet og internasjonalisering. Det er antatt a</w:t>
      </w:r>
      <w:r w:rsidR="00006CF1">
        <w:t>t viktigheten og verdien av dett</w:t>
      </w:r>
      <w:r>
        <w:t xml:space="preserve">e er gitt, da </w:t>
      </w:r>
      <w:r w:rsidR="00A97EE8">
        <w:t xml:space="preserve">Kvalitetsreformen og påfølgende </w:t>
      </w:r>
      <w:r w:rsidR="003F4AE1">
        <w:t>Stortingsmeldinger</w:t>
      </w:r>
      <w:r w:rsidR="00A97EE8">
        <w:t xml:space="preserve"> har satt søkelyset på internasjonalisering, ikke bare som studentutveksling, men også som ledelsesstrategi.</w:t>
      </w:r>
      <w:r>
        <w:t xml:space="preserve"> Evalueringen av Kvalitetsreformen som ble gjort av Forskningsrådet i 2007 konkluderer med at spørsmålet ikke lenger er </w:t>
      </w:r>
      <w:r w:rsidRPr="00775247">
        <w:rPr>
          <w:i/>
        </w:rPr>
        <w:t>om</w:t>
      </w:r>
      <w:r>
        <w:t xml:space="preserve"> en skal internasjonalisere, men i hvor stor </w:t>
      </w:r>
      <w:r w:rsidRPr="00775247">
        <w:rPr>
          <w:i/>
        </w:rPr>
        <w:t>grad</w:t>
      </w:r>
      <w:r>
        <w:t xml:space="preserve"> og hvordan (side 54</w:t>
      </w:r>
      <w:r w:rsidRPr="00775247">
        <w:t xml:space="preserve"> </w:t>
      </w:r>
      <w:hyperlink r:id="rId10" w:history="1">
        <w:r w:rsidRPr="00C912E5">
          <w:rPr>
            <w:rStyle w:val="Hyperlink"/>
          </w:rPr>
          <w:t>http://www.nifu.no/files/2013/04/Evaluering-av-Kvalitetsreformen-Sluttrapport.pdf</w:t>
        </w:r>
      </w:hyperlink>
      <w:r>
        <w:t xml:space="preserve">) </w:t>
      </w:r>
    </w:p>
    <w:p w:rsidR="00A72743" w:rsidRPr="0025778E" w:rsidRDefault="003333F0" w:rsidP="00A3595D">
      <w:r>
        <w:t>Studiedekanen ønsket at</w:t>
      </w:r>
      <w:r w:rsidR="00A72743" w:rsidRPr="0025778E">
        <w:t xml:space="preserve"> Anne Aaen-Stockdale</w:t>
      </w:r>
      <w:r w:rsidR="007164A1" w:rsidRPr="0025778E">
        <w:t xml:space="preserve"> </w:t>
      </w:r>
      <w:r w:rsidR="00A72743" w:rsidRPr="0025778E">
        <w:t>(internasjonalisering</w:t>
      </w:r>
      <w:r w:rsidR="00D92D31">
        <w:t>sgruppa</w:t>
      </w:r>
      <w:r>
        <w:t>) skulle lede</w:t>
      </w:r>
      <w:r w:rsidR="00EB261D">
        <w:t xml:space="preserve"> arbeidsgruppe</w:t>
      </w:r>
      <w:r>
        <w:t xml:space="preserve"> og inkludere </w:t>
      </w:r>
      <w:r w:rsidR="00A72743" w:rsidRPr="0025778E">
        <w:t>Jean Raphael Martinez</w:t>
      </w:r>
      <w:r w:rsidR="007164A1" w:rsidRPr="0025778E">
        <w:t xml:space="preserve"> </w:t>
      </w:r>
      <w:r w:rsidR="00A72743" w:rsidRPr="0025778E">
        <w:t>(PhD</w:t>
      </w:r>
      <w:r w:rsidR="00642F22">
        <w:t>-</w:t>
      </w:r>
      <w:r w:rsidR="005B6987">
        <w:t>gruppa</w:t>
      </w:r>
      <w:r>
        <w:t>) og</w:t>
      </w:r>
      <w:r w:rsidR="0025778E" w:rsidRPr="0025778E">
        <w:t xml:space="preserve"> Hilde Hvistendahl (EU-team)</w:t>
      </w:r>
      <w:r>
        <w:t xml:space="preserve"> i fakultetsadministrasjonen, instituttene ble spurt om frivillige og gruppen inkluderte derfor</w:t>
      </w:r>
      <w:r w:rsidR="0025778E" w:rsidRPr="0025778E">
        <w:t xml:space="preserve"> i tillegg </w:t>
      </w:r>
      <w:r w:rsidR="007A0585" w:rsidRPr="007A0585">
        <w:t>Morten Hjorth-Jensen</w:t>
      </w:r>
      <w:r w:rsidR="007A0585">
        <w:t xml:space="preserve"> (professor FI)</w:t>
      </w:r>
      <w:r w:rsidR="007A0585" w:rsidRPr="007A0585">
        <w:t>, Katrine Langvad (</w:t>
      </w:r>
      <w:r w:rsidR="007A0585">
        <w:t xml:space="preserve">studieseksjonen </w:t>
      </w:r>
      <w:r w:rsidR="00C14C66">
        <w:t>FI)</w:t>
      </w:r>
      <w:r w:rsidR="000658BA">
        <w:t>, Stein Gjessing (professor IFI)</w:t>
      </w:r>
      <w:r>
        <w:t>, og gjennom MNSU</w:t>
      </w:r>
      <w:r w:rsidR="000658BA">
        <w:t xml:space="preserve"> Kristian Bjørke (student FI) ved vara Vilde Olsson (student IBV)</w:t>
      </w:r>
      <w:r w:rsidR="00C14C66">
        <w:t>.</w:t>
      </w:r>
      <w:r w:rsidR="007A0585" w:rsidRPr="007A0585">
        <w:t xml:space="preserve"> </w:t>
      </w:r>
    </w:p>
    <w:p w:rsidR="00666893" w:rsidRPr="0025778E" w:rsidRDefault="00666893" w:rsidP="00666893">
      <w:r>
        <w:t>Vi ønsket</w:t>
      </w:r>
      <w:r w:rsidRPr="0025778E">
        <w:t xml:space="preserve"> følgende:</w:t>
      </w:r>
    </w:p>
    <w:p w:rsidR="00666893" w:rsidRDefault="00666893" w:rsidP="00666893">
      <w:pPr>
        <w:pStyle w:val="ListParagraph"/>
        <w:numPr>
          <w:ilvl w:val="0"/>
          <w:numId w:val="8"/>
        </w:numPr>
      </w:pPr>
      <w:r w:rsidRPr="00A3595D">
        <w:t>Oversikt over dagens aktivite</w:t>
      </w:r>
      <w:r>
        <w:t>te</w:t>
      </w:r>
      <w:r w:rsidRPr="00A3595D">
        <w:t>r</w:t>
      </w:r>
    </w:p>
    <w:p w:rsidR="00666893" w:rsidRPr="00A3595D" w:rsidRDefault="00666893" w:rsidP="00666893">
      <w:pPr>
        <w:pStyle w:val="ListParagraph"/>
        <w:numPr>
          <w:ilvl w:val="0"/>
          <w:numId w:val="8"/>
        </w:numPr>
      </w:pPr>
      <w:r w:rsidRPr="00A3595D">
        <w:t>Gjennomgang av tidligere tiltaksplaner og strategier</w:t>
      </w:r>
    </w:p>
    <w:p w:rsidR="00666893" w:rsidRPr="00A3595D" w:rsidRDefault="00666893" w:rsidP="00666893">
      <w:pPr>
        <w:pStyle w:val="ListParagraph"/>
        <w:numPr>
          <w:ilvl w:val="0"/>
          <w:numId w:val="8"/>
        </w:numPr>
      </w:pPr>
      <w:r w:rsidRPr="00A3595D">
        <w:t>Oversikt over muligheter for økt aktivitet og videreutvikling av avtaler, og forbedret formidling av eksisterende informasjon</w:t>
      </w:r>
    </w:p>
    <w:p w:rsidR="00666893" w:rsidRDefault="00666893" w:rsidP="00666893">
      <w:pPr>
        <w:pStyle w:val="ListParagraph"/>
        <w:numPr>
          <w:ilvl w:val="0"/>
          <w:numId w:val="8"/>
        </w:numPr>
      </w:pPr>
      <w:r w:rsidRPr="00A3595D">
        <w:t>Identifisering av hindre</w:t>
      </w:r>
    </w:p>
    <w:p w:rsidR="00EB261D" w:rsidRDefault="00666893" w:rsidP="00666893">
      <w:pPr>
        <w:pStyle w:val="ListParagraph"/>
        <w:numPr>
          <w:ilvl w:val="0"/>
          <w:numId w:val="8"/>
        </w:numPr>
      </w:pPr>
      <w:r w:rsidRPr="00A3595D">
        <w:t>Mulig</w:t>
      </w:r>
      <w:r>
        <w:t>he</w:t>
      </w:r>
      <w:r w:rsidRPr="00A3595D">
        <w:t xml:space="preserve">tene for utvikling av ‘internasjonalisering hjemme’ </w:t>
      </w:r>
    </w:p>
    <w:p w:rsidR="00666893" w:rsidRDefault="00666893" w:rsidP="00666893"/>
    <w:p w:rsidR="00EB261D" w:rsidRPr="007F579B" w:rsidRDefault="00EB261D" w:rsidP="001A60AB">
      <w:pPr>
        <w:pStyle w:val="Heading1"/>
        <w:numPr>
          <w:ilvl w:val="0"/>
          <w:numId w:val="6"/>
        </w:numPr>
      </w:pPr>
      <w:r w:rsidRPr="007F579B">
        <w:lastRenderedPageBreak/>
        <w:t>Oversikt over dagens ak</w:t>
      </w:r>
      <w:r w:rsidR="00FC320F">
        <w:t>t</w:t>
      </w:r>
      <w:r w:rsidRPr="007F579B">
        <w:t>iv</w:t>
      </w:r>
      <w:r w:rsidR="00FC320F">
        <w:t>it</w:t>
      </w:r>
      <w:r w:rsidRPr="007F579B">
        <w:t>eter</w:t>
      </w:r>
    </w:p>
    <w:p w:rsidR="001C09FF" w:rsidRDefault="001C09FF" w:rsidP="001C09FF">
      <w:pPr>
        <w:pStyle w:val="Heading2"/>
        <w:ind w:firstLine="360"/>
      </w:pPr>
      <w:r>
        <w:t>1.1 Utveksling</w:t>
      </w:r>
    </w:p>
    <w:p w:rsidR="00A97EE8" w:rsidRDefault="00EB261D" w:rsidP="00A3595D">
      <w:r>
        <w:t>Mye av studentmobiliteten er i form av utvek</w:t>
      </w:r>
      <w:r w:rsidR="00AA40DC">
        <w:t>s</w:t>
      </w:r>
      <w:r>
        <w:t>ling med partneruniversiteter utenfor Norge. Mobilitet innenfor Europa skjer gjenn</w:t>
      </w:r>
      <w:r w:rsidR="00200FEC">
        <w:t>om Era</w:t>
      </w:r>
      <w:r w:rsidR="00772101">
        <w:t>s</w:t>
      </w:r>
      <w:r w:rsidR="00200FEC">
        <w:t xml:space="preserve">mus rammeverket og Nordlys/Nordplus, mens </w:t>
      </w:r>
      <w:r w:rsidR="00AA40DC">
        <w:t xml:space="preserve">det </w:t>
      </w:r>
      <w:r w:rsidR="00200FEC">
        <w:t xml:space="preserve">utenfor Europa er </w:t>
      </w:r>
      <w:r w:rsidR="00AA40DC">
        <w:t xml:space="preserve">opprettet </w:t>
      </w:r>
      <w:r w:rsidR="00200FEC">
        <w:t xml:space="preserve">bilaterale avtaler. Utvekslingsavtaler </w:t>
      </w:r>
      <w:r w:rsidR="00772101">
        <w:t>finnes på institutt</w:t>
      </w:r>
      <w:r w:rsidR="00AA40DC">
        <w:t>-</w:t>
      </w:r>
      <w:r w:rsidR="00772101">
        <w:t>, fakultet</w:t>
      </w:r>
      <w:r w:rsidR="00AA40DC">
        <w:t>-</w:t>
      </w:r>
      <w:r w:rsidR="00772101">
        <w:t xml:space="preserve"> og universitetsnivå, og det er det relevante nivå som er ansvarlig for kontakt med partnere. Alle institutter har sent student</w:t>
      </w:r>
      <w:r w:rsidR="00A97EE8">
        <w:t>er ut i de siste årene, med unntak av</w:t>
      </w:r>
      <w:r w:rsidR="00772101">
        <w:t xml:space="preserve"> Institutt for </w:t>
      </w:r>
      <w:r w:rsidR="003F4AE1">
        <w:t>teoretisk</w:t>
      </w:r>
      <w:r w:rsidR="00772101">
        <w:t xml:space="preserve"> astrofysikk (</w:t>
      </w:r>
      <w:r w:rsidR="003F4AE1">
        <w:t>pga.</w:t>
      </w:r>
      <w:r w:rsidR="00772101">
        <w:t xml:space="preserve"> størrelse)</w:t>
      </w:r>
      <w:r w:rsidR="00A97EE8">
        <w:t>.</w:t>
      </w:r>
    </w:p>
    <w:p w:rsidR="00EB261D" w:rsidRDefault="00EC155A" w:rsidP="00A3595D">
      <w:r>
        <w:t>Senter for entreprenørskap</w:t>
      </w:r>
      <w:r w:rsidR="00C70161">
        <w:t xml:space="preserve"> (SFE)</w:t>
      </w:r>
      <w:r>
        <w:t xml:space="preserve"> og Gründerskolen har egne programmer hvor et </w:t>
      </w:r>
      <w:r w:rsidR="00C30633">
        <w:t>«</w:t>
      </w:r>
      <w:r w:rsidRPr="00C30633">
        <w:t>internship</w:t>
      </w:r>
      <w:r w:rsidR="00C30633">
        <w:t>»</w:t>
      </w:r>
      <w:r>
        <w:t xml:space="preserve"> ved partnerinstitusjoner utgjør en del av graden. Disse rapporteres som utvekslingsstudenter i FS og DBH, men representerer ikke den samme typen utveksling og innpass som på de andre studieprogrammene.</w:t>
      </w:r>
    </w:p>
    <w:p w:rsidR="001C09FF" w:rsidRPr="001C09FF" w:rsidRDefault="00772101" w:rsidP="00A3595D">
      <w:r>
        <w:t>I tillegg sender fire av instituttene studenter til UNIS (Universitetssenteret på Svalbard), men dette rapporte</w:t>
      </w:r>
      <w:r w:rsidR="00A97EE8">
        <w:t>res ikke med utvekslingstallene. UNIS tilhører fastlandsuniversitetene og studiepoeng derfr</w:t>
      </w:r>
      <w:r w:rsidR="000C306A">
        <w:t>a</w:t>
      </w:r>
      <w:r w:rsidR="00AA40DC">
        <w:t xml:space="preserve"> rapporteres i FS. D</w:t>
      </w:r>
      <w:r w:rsidR="00A97EE8">
        <w:t xml:space="preserve">ette regnes derfor ikke som utveksling, fordi det fortsatt er innenfor Norge. All undervisning på UNIS foregår på engelsk og de ønsker en fordeling på 50% studenter fra norske institusjoner og 50% fra utlandet, dette representerer derfor </w:t>
      </w:r>
      <w:r w:rsidR="00AA40DC">
        <w:t xml:space="preserve">allikevel </w:t>
      </w:r>
      <w:r w:rsidR="00A97EE8">
        <w:t xml:space="preserve">verdifull internasjonal erfaring </w:t>
      </w:r>
      <w:r w:rsidR="00AA40DC">
        <w:t xml:space="preserve">for mange MN studenter </w:t>
      </w:r>
      <w:r w:rsidR="003F4AE1">
        <w:t>og fakultetet</w:t>
      </w:r>
      <w:r w:rsidR="00A97EE8">
        <w:t xml:space="preserve"> er det eneste ved UiO som sender studenter til UNIS.</w:t>
      </w:r>
    </w:p>
    <w:p w:rsidR="001C09FF" w:rsidRPr="001C09FF" w:rsidRDefault="001C09FF" w:rsidP="00A1091A">
      <w:pPr>
        <w:pStyle w:val="Heading2"/>
        <w:ind w:firstLine="708"/>
      </w:pPr>
      <w:r>
        <w:t xml:space="preserve">1.2 </w:t>
      </w:r>
      <w:r w:rsidR="003439CA">
        <w:t>Inn og u</w:t>
      </w:r>
      <w:r>
        <w:t>treisende utveksling</w:t>
      </w:r>
    </w:p>
    <w:p w:rsidR="001C09FF" w:rsidRDefault="00936ED5" w:rsidP="00F35C19">
      <w:r>
        <w:t xml:space="preserve">Utveksling </w:t>
      </w:r>
      <w:r w:rsidR="00F35C19">
        <w:t>skjer gjennom etablerte avtaler som er signert av avtaleeier ved UiO og et partneruniversitet. Størstedelen av avtalene hvor instituttene og fakultetet er avtaleeiere er gjennom EUs Erasmus</w:t>
      </w:r>
      <w:r w:rsidR="00AA40DC">
        <w:t>+</w:t>
      </w:r>
      <w:r w:rsidR="00F35C19">
        <w:t xml:space="preserve"> rammeverk. Utveksling i dette programmet var i perioden 2007 til 2013 kalt Erasmus LLP (Lifelong Learning Program) og disse aktivitetene er blitt videreført i det nye rammeverket Erasmus+ frem til 2020. I Erasmus LLP var Norge kun del av noen av programmene i rammeverket, mens</w:t>
      </w:r>
      <w:r w:rsidR="00AA40DC">
        <w:t xml:space="preserve"> for Erasmus+ er Norge et fullverdig programland</w:t>
      </w:r>
      <w:r w:rsidR="00F35C19">
        <w:t>. Avtaler utenfor EU er bilaterale avtaler, og de fleste av disse er administrert av Avdeling for fagstøtte</w:t>
      </w:r>
      <w:r w:rsidR="0097044C">
        <w:t xml:space="preserve"> (UiO avtaler)</w:t>
      </w:r>
      <w:r w:rsidR="00B53899">
        <w:t>, men noen av instituttene har</w:t>
      </w:r>
      <w:r w:rsidR="00AA40DC">
        <w:t xml:space="preserve"> også</w:t>
      </w:r>
      <w:r w:rsidR="00B53899">
        <w:t xml:space="preserve"> egne </w:t>
      </w:r>
      <w:r w:rsidR="00AA40DC">
        <w:t xml:space="preserve">bilaterale </w:t>
      </w:r>
      <w:r w:rsidR="00B53899">
        <w:t>avtaler</w:t>
      </w:r>
      <w:r w:rsidR="00F35C19">
        <w:t xml:space="preserve">. </w:t>
      </w:r>
      <w:r w:rsidR="00B53899">
        <w:t>Det finnes også et lite antall Nordplus/Nordlys avtaler med nordiske partnere, også administrert av Avdeling for fagstøtte.</w:t>
      </w:r>
    </w:p>
    <w:p w:rsidR="00F35C19" w:rsidRDefault="00F35C19" w:rsidP="00F35C19">
      <w:r>
        <w:t>For studentene er hov</w:t>
      </w:r>
      <w:r w:rsidR="0097044C">
        <w:t>edforskjellen mellom avtalene at</w:t>
      </w:r>
      <w:r>
        <w:t xml:space="preserve"> studenter som reiser på en Erasmus</w:t>
      </w:r>
      <w:r w:rsidR="00AA40DC">
        <w:t>+</w:t>
      </w:r>
      <w:r>
        <w:t xml:space="preserve"> avtale får et eget stipend.</w:t>
      </w:r>
      <w:r w:rsidR="00B53899">
        <w:t xml:space="preserve"> Under Erasmus LLP har studentene fått en månedlig sum i EURO, uavhengig av hvilket land de har reist til. Det har variert hvor mye, men typisk rundt 3</w:t>
      </w:r>
      <w:r w:rsidR="0097044C">
        <w:t>5</w:t>
      </w:r>
      <w:r w:rsidR="00B53899">
        <w:t xml:space="preserve">0 EURO per måned. </w:t>
      </w:r>
      <w:r w:rsidR="0097044C">
        <w:t xml:space="preserve">Med det nye Erasmus+ varierer stipendsatsene avhengig av prisnivået i landet, slik at satsen for Danmark, Finland, Frankrike, Irland, Italia, Liechtenstein, Sverige, UK og Østerrike for 2014-15 er 400 EURO per måned og for de andre programlandene 350 EURO per måned. </w:t>
      </w:r>
      <w:r w:rsidR="00B53899">
        <w:t xml:space="preserve">Studenter som reiser på Nordlys avtaler har fått rundt </w:t>
      </w:r>
      <w:r w:rsidR="0097044C">
        <w:t>20</w:t>
      </w:r>
      <w:r w:rsidR="00AA40DC">
        <w:t>0 EURO i måneden, men det er like aktivitet i Nordlysnettverket.</w:t>
      </w:r>
    </w:p>
    <w:p w:rsidR="00936ED5" w:rsidRPr="00936ED5" w:rsidRDefault="00B53899" w:rsidP="00EB261D">
      <w:pPr>
        <w:rPr>
          <w:sz w:val="24"/>
          <w:szCs w:val="24"/>
        </w:rPr>
      </w:pPr>
      <w:r>
        <w:t>Studenter som reise på bilaterale avtaler får ikke stipend, og på noen av avtalene er d</w:t>
      </w:r>
      <w:r w:rsidR="00810067">
        <w:t>et ikke utvekslings i</w:t>
      </w:r>
      <w:r>
        <w:t xml:space="preserve"> rett forstand, fordi studentene må betale skolepenger ved partneruniversitetet. For den bilaterale avtalen mellom IFI og San Jose State University</w:t>
      </w:r>
      <w:r w:rsidR="00810067">
        <w:t xml:space="preserve"> (SJSU) i USA er dette en ‘study abroad’ avtale, fordi </w:t>
      </w:r>
      <w:r w:rsidR="009F13BD">
        <w:t xml:space="preserve">våre studenter betaler skolepenger (betalplasser) og </w:t>
      </w:r>
      <w:r w:rsidR="00810067">
        <w:t>vi ikke får innreisende studenter fra SJSU. For avtalen mellom IBV og James Cook University (JCU) i Australia er dette en blanding fordi avtalen</w:t>
      </w:r>
      <w:r w:rsidR="009F13BD">
        <w:t xml:space="preserve"> inkluderer et begrenset antall gratis </w:t>
      </w:r>
      <w:r w:rsidR="00810067">
        <w:t>utvekslingsplasser</w:t>
      </w:r>
      <w:r w:rsidR="009F13BD">
        <w:t xml:space="preserve">, men også ekstra betalplasser. </w:t>
      </w:r>
    </w:p>
    <w:p w:rsidR="00C70161" w:rsidRDefault="00C70161" w:rsidP="00675BC6">
      <w:pPr>
        <w:pStyle w:val="Heading3"/>
      </w:pPr>
    </w:p>
    <w:p w:rsidR="00C70161" w:rsidRDefault="00C70161" w:rsidP="00675BC6">
      <w:pPr>
        <w:pStyle w:val="Heading3"/>
      </w:pPr>
    </w:p>
    <w:p w:rsidR="00C70161" w:rsidRDefault="00C70161" w:rsidP="00675BC6">
      <w:pPr>
        <w:pStyle w:val="Heading3"/>
      </w:pPr>
    </w:p>
    <w:p w:rsidR="00675BC6" w:rsidRPr="00675BC6" w:rsidRDefault="009F13BD" w:rsidP="00675BC6">
      <w:pPr>
        <w:pStyle w:val="Heading3"/>
      </w:pPr>
      <w:r>
        <w:lastRenderedPageBreak/>
        <w:t xml:space="preserve">Tabell 1 - </w:t>
      </w:r>
      <w:r w:rsidR="002C7E22">
        <w:t>U</w:t>
      </w:r>
      <w:r w:rsidR="00AA40DC">
        <w:t>treisende utveksling, ekskludert</w:t>
      </w:r>
      <w:r w:rsidR="00675BC6" w:rsidRPr="00675BC6">
        <w:t xml:space="preserve"> SFE, per år</w:t>
      </w:r>
    </w:p>
    <w:p w:rsidR="00C21EB1" w:rsidRPr="001C09FF" w:rsidRDefault="002C7E22" w:rsidP="00EB261D">
      <w:pPr>
        <w:rPr>
          <w:color w:val="FF0000"/>
          <w:sz w:val="24"/>
          <w:szCs w:val="24"/>
        </w:rPr>
      </w:pPr>
      <w:r>
        <w:rPr>
          <w:noProof/>
        </w:rPr>
        <w:drawing>
          <wp:inline distT="0" distB="0" distL="0" distR="0" wp14:anchorId="1C6F41B3" wp14:editId="4C047A0B">
            <wp:extent cx="3590925" cy="2581275"/>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439CA" w:rsidRPr="00666893" w:rsidRDefault="003439CA" w:rsidP="00EB261D">
      <w:r w:rsidRPr="00666893">
        <w:t xml:space="preserve">Dette er </w:t>
      </w:r>
      <w:r w:rsidR="002C7E22">
        <w:t>statistikk utregnet fra FS, som varierer noe med tallene</w:t>
      </w:r>
      <w:r w:rsidRPr="00666893">
        <w:t xml:space="preserve"> fra</w:t>
      </w:r>
      <w:r w:rsidR="009F0AE7">
        <w:t xml:space="preserve"> DBH</w:t>
      </w:r>
      <w:r w:rsidRPr="00666893">
        <w:t xml:space="preserve">. </w:t>
      </w:r>
      <w:r w:rsidR="0097044C">
        <w:t xml:space="preserve">Tallene fra DBH gir en oversikt over studentene på grunnlag av avtaleeier, mens i tabell 1 er de studenter på UiO avtaler gitt sin programtilhørighet. </w:t>
      </w:r>
    </w:p>
    <w:p w:rsidR="003439CA" w:rsidRDefault="00AA40DC" w:rsidP="00EB261D">
      <w:r>
        <w:t>Tabell 1</w:t>
      </w:r>
      <w:r w:rsidR="003439CA" w:rsidRPr="00666893">
        <w:t xml:space="preserve"> viser de</w:t>
      </w:r>
      <w:r>
        <w:t>t</w:t>
      </w:r>
      <w:r w:rsidR="003439CA" w:rsidRPr="00666893">
        <w:t xml:space="preserve"> totale antall utveksle</w:t>
      </w:r>
      <w:r w:rsidR="00855C0B" w:rsidRPr="00666893">
        <w:t xml:space="preserve">de studenter på fakultetet, uavhengig av om studenten var registrert et eller to </w:t>
      </w:r>
      <w:r w:rsidR="003F4AE1" w:rsidRPr="00666893">
        <w:t>semestre</w:t>
      </w:r>
      <w:r w:rsidR="00855C0B" w:rsidRPr="00666893">
        <w:t xml:space="preserve">. </w:t>
      </w:r>
      <w:r w:rsidR="003439CA" w:rsidRPr="00666893">
        <w:t>Utviklingen av utreisende mobilitet på fakultetet har vært økende de siste årene, dette på tro</w:t>
      </w:r>
      <w:r>
        <w:t>s</w:t>
      </w:r>
      <w:r w:rsidR="003439CA" w:rsidRPr="00666893">
        <w:t>s av nedgang i antallet registrerte studenter</w:t>
      </w:r>
      <w:r w:rsidR="00855C0B" w:rsidRPr="00666893">
        <w:t xml:space="preserve">, men disse tallene </w:t>
      </w:r>
      <w:r w:rsidR="003F4AE1" w:rsidRPr="00666893">
        <w:t>ekskluderer</w:t>
      </w:r>
      <w:r w:rsidR="00855C0B" w:rsidRPr="00666893">
        <w:t xml:space="preserve"> mobilitet på SFE/Grunderskolen</w:t>
      </w:r>
      <w:r w:rsidR="003439CA" w:rsidRPr="00666893">
        <w:t>. Både SV og HF har hatt noe nedgang side 2009.</w:t>
      </w:r>
      <w:r w:rsidR="00855C0B" w:rsidRPr="00666893">
        <w:t xml:space="preserve"> </w:t>
      </w:r>
      <w:r>
        <w:t>I følge DBH tallene</w:t>
      </w:r>
      <w:r w:rsidR="0035746F">
        <w:t xml:space="preserve"> sender HF rundt 300 studenter på utveksling hvert år de siste årene</w:t>
      </w:r>
      <w:r w:rsidR="00901CD4">
        <w:t xml:space="preserve">, </w:t>
      </w:r>
      <w:r w:rsidR="0035746F">
        <w:t>SV rundt 200</w:t>
      </w:r>
      <w:r w:rsidR="00901CD4">
        <w:t xml:space="preserve"> og Jus rundt 100</w:t>
      </w:r>
      <w:r w:rsidR="0035746F">
        <w:t>.</w:t>
      </w:r>
    </w:p>
    <w:p w:rsidR="004B1FDC" w:rsidRPr="00666893" w:rsidRDefault="00A472ED" w:rsidP="00EB261D">
      <w:r>
        <w:t>Flest</w:t>
      </w:r>
      <w:r w:rsidR="004B1FDC">
        <w:t xml:space="preserve"> studenter reiser ut på bachelornivå</w:t>
      </w:r>
      <w:r>
        <w:t xml:space="preserve">, med rundt 20% på masternivå de siste årene. </w:t>
      </w:r>
    </w:p>
    <w:p w:rsidR="001C09FF" w:rsidRPr="00666893" w:rsidRDefault="00855C0B" w:rsidP="001C09FF">
      <w:r w:rsidRPr="00666893">
        <w:t>Statistikk for SFE/Grunderskolen er veldig positive, men ligger utenfor aktivitetene som fakultetet er involvert i.</w:t>
      </w:r>
    </w:p>
    <w:p w:rsidR="00675BC6" w:rsidRDefault="009F13BD" w:rsidP="00675BC6">
      <w:pPr>
        <w:pStyle w:val="Heading3"/>
      </w:pPr>
      <w:r>
        <w:t xml:space="preserve">Tabell 2 - </w:t>
      </w:r>
      <w:r w:rsidR="00675BC6">
        <w:t>Utreisende utveksling, kun SFE, per år</w:t>
      </w:r>
    </w:p>
    <w:p w:rsidR="002C7E22" w:rsidRPr="002C7E22" w:rsidRDefault="002C7E22" w:rsidP="002C7E22">
      <w:r>
        <w:rPr>
          <w:noProof/>
        </w:rPr>
        <w:drawing>
          <wp:inline distT="0" distB="0" distL="0" distR="0" wp14:anchorId="0D9FF95F" wp14:editId="0AADC187">
            <wp:extent cx="3648075" cy="250507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873D1" w:rsidRDefault="000873D1" w:rsidP="00EB261D"/>
    <w:p w:rsidR="00EA4C50" w:rsidRDefault="000873D1" w:rsidP="00EA4C50">
      <w:r>
        <w:t xml:space="preserve">Det er vanskeligere å gi god statistikk for innreisende utveksling fordi studenter kan ‘tilhøre’ fakultetet, men </w:t>
      </w:r>
      <w:r w:rsidR="00012C5F">
        <w:t xml:space="preserve">ta </w:t>
      </w:r>
      <w:r>
        <w:t xml:space="preserve">noen eller alle emner fra andre fakulteter, og studenter som ‘tilhører’ andre fakulteter kan i noen tilfeller ta </w:t>
      </w:r>
      <w:r w:rsidR="0097044C">
        <w:t xml:space="preserve">alle sine </w:t>
      </w:r>
      <w:r>
        <w:t>emner hos oss. Det er allikevel klart at antallet innreisende studenter har økt mye kraftigere en</w:t>
      </w:r>
      <w:r w:rsidR="009D2F3D">
        <w:t>n</w:t>
      </w:r>
      <w:r>
        <w:t xml:space="preserve"> </w:t>
      </w:r>
      <w:r>
        <w:lastRenderedPageBreak/>
        <w:t>utreisende studenter</w:t>
      </w:r>
      <w:r w:rsidR="009F13BD">
        <w:t>,</w:t>
      </w:r>
      <w:r w:rsidR="0097044C">
        <w:t xml:space="preserve"> se</w:t>
      </w:r>
      <w:r w:rsidR="009F13BD">
        <w:t xml:space="preserve"> Tabell </w:t>
      </w:r>
      <w:r w:rsidR="009F13BD" w:rsidRPr="009F13BD">
        <w:t>3</w:t>
      </w:r>
      <w:r>
        <w:t>.</w:t>
      </w:r>
      <w:r w:rsidR="00EA4C50">
        <w:t xml:space="preserve"> Trenden er den samme</w:t>
      </w:r>
      <w:r w:rsidR="00EA4C50" w:rsidRPr="00666893">
        <w:t xml:space="preserve"> også hos SV og HF, men økningen har vært større på vårt fakultet.</w:t>
      </w:r>
      <w:r w:rsidR="00BF1A22">
        <w:t xml:space="preserve"> Dette kan være pga. vårt store emnetilbud på engelsk.</w:t>
      </w:r>
    </w:p>
    <w:p w:rsidR="00BF1A22" w:rsidRDefault="00BF1A22" w:rsidP="00EA4C50">
      <w:r>
        <w:t xml:space="preserve">For innreisende studenter kan MN emner virke tiltrekkende fordi de tilbys på engelsk, men forkunnskapskravene gjør at de i virkeligheten ikke er tilgjengelige. Fakultetet administrerer en omfattende emneavklaringsprosess for innreisende utvekslingsstudenter i forkant </w:t>
      </w:r>
      <w:r w:rsidR="00607CB0">
        <w:t xml:space="preserve">av </w:t>
      </w:r>
      <w:r>
        <w:t xml:space="preserve">åpningen av StudentWeb </w:t>
      </w:r>
      <w:r w:rsidR="00607CB0">
        <w:t xml:space="preserve">hvert </w:t>
      </w:r>
      <w:r>
        <w:t>semester, for at studentene kan få tilbakemelding på om de kvalifiserer til emner.</w:t>
      </w:r>
    </w:p>
    <w:p w:rsidR="00BF1A22" w:rsidRDefault="00BF1A22" w:rsidP="00EA4C50">
      <w:r>
        <w:t xml:space="preserve">For innreisende studenter er det spesielt Geofag som representerer en utfordring når det gjelder plass. Geofagsemner er veldig populære blant studentene, men sliter med plass. </w:t>
      </w:r>
      <w:r w:rsidR="00847E6A">
        <w:t>Dette er spesielt vanskelig for studenter som kom</w:t>
      </w:r>
      <w:r w:rsidR="000D4268">
        <w:t xml:space="preserve">mer i høstsemesteret og ønsker </w:t>
      </w:r>
      <w:r w:rsidR="00847E6A">
        <w:t>e</w:t>
      </w:r>
      <w:r w:rsidR="000D4268">
        <w:t>m</w:t>
      </w:r>
      <w:r w:rsidR="00847E6A">
        <w:t xml:space="preserve">ner på masternivå fordi det ikke er avklart emner for nye helgradsmasterstudenter. </w:t>
      </w:r>
      <w:r w:rsidR="000D4268">
        <w:t>Studentene kan bli frustrerte over at emnevalget ikke kan ferdigstilles før semesteret er begynt.</w:t>
      </w:r>
    </w:p>
    <w:p w:rsidR="000D4268" w:rsidRPr="00666893" w:rsidRDefault="000D4268" w:rsidP="00EA4C50">
      <w:r>
        <w:t>I 2013 ble UiO del av et nytt program, Science without Boarders (SwB), som er finan</w:t>
      </w:r>
      <w:r w:rsidR="00FC197E">
        <w:t>s</w:t>
      </w:r>
      <w:r>
        <w:t>iert av Brasilianske myndigheter for å sende Brasilianske studenter til utlandet. Programmet er administrert av SIU (Senter for inte</w:t>
      </w:r>
      <w:r w:rsidR="00FC197E">
        <w:t>r</w:t>
      </w:r>
      <w:r>
        <w:t>nasjonalis</w:t>
      </w:r>
      <w:r w:rsidR="00FC197E">
        <w:t>e</w:t>
      </w:r>
      <w:r>
        <w:t xml:space="preserve">ring av utdanning) og deres Brasilianske motpart, CAPES. Vi mottok 24 utvekslingsstudenter for to semester, både på bachelor og masternivå, mesteparten til IFI og Geofag. Det har vært en stor økning av søkere for 2014, men det har ikke vært mulig å akseptere alle, også fordi mange ønsket emner innen geofag, spesielt petroleumsgeologi, </w:t>
      </w:r>
      <w:r w:rsidR="00FC197E">
        <w:t xml:space="preserve">hvor det er kapasitetsproblemer. </w:t>
      </w:r>
    </w:p>
    <w:p w:rsidR="009D2F3D" w:rsidRDefault="009F13BD" w:rsidP="009D2F3D">
      <w:pPr>
        <w:pStyle w:val="Heading2"/>
      </w:pPr>
      <w:r>
        <w:t xml:space="preserve">Tabell 3 - </w:t>
      </w:r>
      <w:r w:rsidR="009D2F3D">
        <w:t>Inn- og utreisende utvekslings</w:t>
      </w:r>
      <w:r w:rsidR="00936ED5">
        <w:t>s</w:t>
      </w:r>
      <w:r w:rsidR="00847E6A">
        <w:t>tudenter, ekskludert</w:t>
      </w:r>
      <w:r w:rsidR="009D2F3D">
        <w:t xml:space="preserve"> SFE, per år</w:t>
      </w:r>
      <w:r w:rsidR="0097044C">
        <w:t xml:space="preserve"> (tall fra DBH)</w:t>
      </w:r>
    </w:p>
    <w:p w:rsidR="000873D1" w:rsidRDefault="000873D1" w:rsidP="00EB261D">
      <w:r>
        <w:rPr>
          <w:noProof/>
        </w:rPr>
        <w:drawing>
          <wp:inline distT="0" distB="0" distL="0" distR="0" wp14:anchorId="2EF11BCA" wp14:editId="72C3D09F">
            <wp:extent cx="3590925" cy="235267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7044C" w:rsidRDefault="0097044C" w:rsidP="00EB261D"/>
    <w:p w:rsidR="0097044C" w:rsidRDefault="0097044C" w:rsidP="00A1091A">
      <w:pPr>
        <w:pStyle w:val="Heading2"/>
        <w:ind w:firstLine="708"/>
      </w:pPr>
      <w:r>
        <w:t>1.3 UNIS</w:t>
      </w:r>
    </w:p>
    <w:p w:rsidR="00675BC6" w:rsidRDefault="00722EC8" w:rsidP="00EB261D">
      <w:r>
        <w:t>Som nevnt over</w:t>
      </w:r>
      <w:r w:rsidR="00675BC6" w:rsidRPr="00666893">
        <w:t xml:space="preserve"> sender fire institutter</w:t>
      </w:r>
      <w:r>
        <w:t xml:space="preserve"> (IBV, FYS</w:t>
      </w:r>
      <w:r w:rsidR="0054046B" w:rsidRPr="00666893">
        <w:t>, IFI, GEO)</w:t>
      </w:r>
      <w:r w:rsidR="00675BC6" w:rsidRPr="00666893">
        <w:t xml:space="preserve"> studenter til UNIS</w:t>
      </w:r>
      <w:r w:rsidR="0054046B" w:rsidRPr="00666893">
        <w:t>. Oppholdene på UNIS er vanligvis et semester på lavere grad, mens på master grad kan dette inkludere emner undervist i kortere, mer intensive perioder. Det er derfor vanskeligere å vite hvor lenge studentene oppholder seg ved UNIS.</w:t>
      </w:r>
    </w:p>
    <w:p w:rsidR="00EA4C50" w:rsidRDefault="00EA4C50" w:rsidP="00EB261D">
      <w:r>
        <w:t>På bachelornivå er det vanligere at studentene tar hele semestre og 30 studiepoeng, men ikke alltid.  Tallene rapporteres som oppmelding til enkelte emner. Fordi disse studentene ikke rapporteres som utvekslingsstudenter er det vanskeligere å vite hvor mange studenter som f.eks. reiser tilbake på masternivå etter ett opphold på bachelor.</w:t>
      </w:r>
    </w:p>
    <w:p w:rsidR="0054046B" w:rsidRDefault="009F13BD" w:rsidP="001C09FF">
      <w:pPr>
        <w:pStyle w:val="Heading2"/>
      </w:pPr>
      <w:r>
        <w:lastRenderedPageBreak/>
        <w:t xml:space="preserve">Tabell 4 - </w:t>
      </w:r>
      <w:r w:rsidR="00BC6F3B">
        <w:t>Studenter ved UNIS, antall emner, per år</w:t>
      </w:r>
      <w:r w:rsidR="00BC6F3B">
        <w:rPr>
          <w:noProof/>
        </w:rPr>
        <w:drawing>
          <wp:inline distT="0" distB="0" distL="0" distR="0" wp14:anchorId="037BEAA3" wp14:editId="4A39BD69">
            <wp:extent cx="3619500" cy="2581275"/>
            <wp:effectExtent l="0" t="0" r="19050"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C6F3B" w:rsidRDefault="00BC6F3B" w:rsidP="00BC6F3B">
      <w:r>
        <w:t>Disse tallene er fra FS, gitt av Yvonne Halle i fakultetsadministrasjonen.</w:t>
      </w:r>
    </w:p>
    <w:p w:rsidR="00BC6F3B" w:rsidRPr="00BC6F3B" w:rsidRDefault="00BC6F3B" w:rsidP="00BC6F3B"/>
    <w:p w:rsidR="001C09FF" w:rsidRDefault="001C09FF" w:rsidP="00A1091A">
      <w:pPr>
        <w:pStyle w:val="Heading2"/>
        <w:ind w:firstLine="708"/>
      </w:pPr>
      <w:r>
        <w:t>1.</w:t>
      </w:r>
      <w:r w:rsidR="00A1091A">
        <w:t>4</w:t>
      </w:r>
      <w:r>
        <w:t xml:space="preserve"> Mobilitetstillskudd</w:t>
      </w:r>
    </w:p>
    <w:p w:rsidR="00F23A2D" w:rsidRDefault="00F23A2D" w:rsidP="00EB261D">
      <w:r w:rsidRPr="00F23A2D">
        <w:t>Arbeidsgruppa rapporterte at mange ansatte ikke vis</w:t>
      </w:r>
      <w:r w:rsidR="00607CB0">
        <w:t>s</w:t>
      </w:r>
      <w:r w:rsidRPr="00F23A2D">
        <w:t>te nok om finansieringen av studentmobilitet</w:t>
      </w:r>
      <w:r>
        <w:t xml:space="preserve">. For innreisende utvekslingsstudenter mottar UiO 7000 NOK for hver student som studerer i minst 3 måneder fra KD for tallene rapportert av DBH. For 2013 </w:t>
      </w:r>
      <w:r w:rsidR="00C70161">
        <w:t>representerte</w:t>
      </w:r>
      <w:r>
        <w:t xml:space="preserve"> dette 1 547 000 NOK (221 studenter x 7000 NOK). Dette er i tillegg til studiepoengsproduk</w:t>
      </w:r>
      <w:r w:rsidR="00C70161">
        <w:t>s</w:t>
      </w:r>
      <w:r>
        <w:t xml:space="preserve">jonen, som for </w:t>
      </w:r>
      <w:r w:rsidR="00012C5F">
        <w:t>utvekslingsstudentene</w:t>
      </w:r>
      <w:r>
        <w:t xml:space="preserve"> er høyere enn for den totale studentmassen ved fakultetet (for høst 2013 var gjennomsnittlig sp per student 17,2 for ordinære studenter, og 26,4 for utvekslingsstudenter) (fra Bokkula </w:t>
      </w:r>
      <w:hyperlink r:id="rId15" w:history="1">
        <w:r w:rsidRPr="00C912E5">
          <w:rPr>
            <w:rStyle w:val="Hyperlink"/>
          </w:rPr>
          <w:t>https://www.uio.no/for-ansatte/arbeidsstotte/sta/fs/statistikk/bokkula/bokkula.php</w:t>
        </w:r>
      </w:hyperlink>
      <w:r>
        <w:t>)</w:t>
      </w:r>
      <w:r w:rsidR="00C70161">
        <w:t>.</w:t>
      </w:r>
      <w:r>
        <w:t xml:space="preserve"> </w:t>
      </w:r>
    </w:p>
    <w:p w:rsidR="00F23A2D" w:rsidRPr="00F23A2D" w:rsidRDefault="00F23A2D" w:rsidP="00EB261D">
      <w:r>
        <w:t>I tillegg mottar UiO 7000 NOK for hver utreisende student som studerer i minst 3 måneder fra KD for tallene rapportert av DBH, som inkluderer SFE/Grunderskolen.</w:t>
      </w:r>
      <w:r w:rsidR="00C70161">
        <w:t xml:space="preserve"> For 213 representerte dette 1 561 000 NOK (223 studenter x 7000 NOK).</w:t>
      </w:r>
    </w:p>
    <w:p w:rsidR="00A66E34" w:rsidRPr="00F23A2D" w:rsidRDefault="0054046B" w:rsidP="00A3595D">
      <w:r w:rsidRPr="00F23A2D">
        <w:t>Ved UNIS tar studentene studiepoeng som registreres inn som studiepoeng ved UiO i FS og studiepoengsproduksjonene tilfaller instituttene.</w:t>
      </w:r>
    </w:p>
    <w:p w:rsidR="001A60AB" w:rsidRPr="00666893" w:rsidRDefault="001A60AB" w:rsidP="001A60AB"/>
    <w:p w:rsidR="001A60AB" w:rsidRPr="00D14AF1" w:rsidRDefault="0054046B" w:rsidP="00A1091A">
      <w:pPr>
        <w:pStyle w:val="Heading2"/>
        <w:ind w:firstLine="708"/>
      </w:pPr>
      <w:r>
        <w:t>1.</w:t>
      </w:r>
      <w:r w:rsidR="00A1091A">
        <w:t>5</w:t>
      </w:r>
      <w:r w:rsidR="001C09FF">
        <w:t xml:space="preserve"> PhD kandidater</w:t>
      </w:r>
    </w:p>
    <w:p w:rsidR="008C3015" w:rsidRDefault="00DA6D73" w:rsidP="00DA6D73">
      <w:r>
        <w:t>Oversikt over utveksling av PhD-kandidater er vanskelig, fordi disse ofte reiser på kortere opphold som ikke kvalifiserer til stipend og ikke blir registrert. Tilbakemeldingen fra gruppa er at det er vanskelig for fagmiljøene å prioritere reise til internasjonale samarbeidspartnere fordi denne type støtte til PhD kandidater er begrenset. Fakultetet har mange internasjonale PhD kandidater</w:t>
      </w:r>
      <w:r w:rsidR="00F660EC">
        <w:t xml:space="preserve"> (se tabell 5)</w:t>
      </w:r>
      <w:r>
        <w:t xml:space="preserve"> og disse er ofte i en annen situasjon, både fordi de allerede har reist til Norge, og fordi de oftere har familie, som gjør mobilitet vanskelig.</w:t>
      </w:r>
      <w:r w:rsidR="00A1091A">
        <w:t xml:space="preserve"> Tabell 5 viser PhD kandidater tatt opp ved MN de siste 4 årene fordelt på nasjonalitet. Det er totalt tatt opp 546 PhD kandidater i denne perioden, hvorav</w:t>
      </w:r>
      <w:r w:rsidR="00C70161">
        <w:t xml:space="preserve"> 263 er registrert med annen nasj</w:t>
      </w:r>
      <w:r w:rsidR="00A1091A">
        <w:t>onalitet enn norsk. Av de samme studentene har 226 avlagt mastergrad/hovedfag på en institusjon utenfor Norge, mens 240 har avlagt maste</w:t>
      </w:r>
      <w:r w:rsidR="00012C5F">
        <w:t>r</w:t>
      </w:r>
      <w:r w:rsidR="00A1091A">
        <w:t>grad/hovedfag ved UiO og 80 ved andre norske institusjoner.</w:t>
      </w:r>
    </w:p>
    <w:p w:rsidR="00C70161" w:rsidRDefault="00C70161" w:rsidP="00A1091A">
      <w:pPr>
        <w:pStyle w:val="Heading2"/>
      </w:pPr>
    </w:p>
    <w:p w:rsidR="00A1091A" w:rsidRPr="008C3015" w:rsidRDefault="00A1091A" w:rsidP="00A1091A">
      <w:pPr>
        <w:pStyle w:val="Heading2"/>
      </w:pPr>
      <w:r>
        <w:lastRenderedPageBreak/>
        <w:t>Tabell 5 – PhD kandidater per verdensdel, statsborgerskap, 2010-2014</w:t>
      </w:r>
    </w:p>
    <w:p w:rsidR="00A1091A" w:rsidRDefault="00A1091A" w:rsidP="008C3015">
      <w:pPr>
        <w:pStyle w:val="Heading3"/>
      </w:pPr>
      <w:r>
        <w:rPr>
          <w:noProof/>
        </w:rPr>
        <w:drawing>
          <wp:inline distT="0" distB="0" distL="0" distR="0" wp14:anchorId="690A9039" wp14:editId="577C2C73">
            <wp:extent cx="3619500" cy="2590800"/>
            <wp:effectExtent l="0" t="0" r="1905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1091A" w:rsidRDefault="00A1091A" w:rsidP="00A1091A"/>
    <w:p w:rsidR="00A1091A" w:rsidRDefault="00A1091A" w:rsidP="00A1091A">
      <w:r>
        <w:t xml:space="preserve">Vi har allikevel PhD kandidater som tilbringer lengre tid hos partnerinstitusjoner og som dermed registreres i FS. </w:t>
      </w:r>
    </w:p>
    <w:p w:rsidR="008C3015" w:rsidRDefault="009F13BD" w:rsidP="008C3015">
      <w:pPr>
        <w:pStyle w:val="Heading3"/>
      </w:pPr>
      <w:r>
        <w:t xml:space="preserve">Tabell </w:t>
      </w:r>
      <w:r w:rsidR="00F660EC">
        <w:t>6</w:t>
      </w:r>
      <w:r>
        <w:t xml:space="preserve"> - </w:t>
      </w:r>
      <w:r w:rsidR="008C3015" w:rsidRPr="008C3015">
        <w:t>Utreisende PhD kandidater, registrerte i FS</w:t>
      </w:r>
      <w:r w:rsidR="008C3015">
        <w:rPr>
          <w:noProof/>
        </w:rPr>
        <w:drawing>
          <wp:inline distT="0" distB="0" distL="0" distR="0" wp14:anchorId="79785B60" wp14:editId="1956797F">
            <wp:extent cx="3619500" cy="2676525"/>
            <wp:effectExtent l="0" t="0" r="19050"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C3015" w:rsidRPr="008C3015" w:rsidRDefault="008C3015" w:rsidP="008C3015"/>
    <w:p w:rsidR="001C09FF" w:rsidRDefault="001C09FF" w:rsidP="00A1091A">
      <w:pPr>
        <w:pStyle w:val="Heading2"/>
        <w:ind w:firstLine="708"/>
      </w:pPr>
      <w:r>
        <w:t>1.</w:t>
      </w:r>
      <w:r w:rsidR="00A1091A">
        <w:t>6</w:t>
      </w:r>
      <w:r>
        <w:t xml:space="preserve"> Forsker</w:t>
      </w:r>
      <w:r w:rsidR="0054046B">
        <w:t>mobilitet</w:t>
      </w:r>
    </w:p>
    <w:p w:rsidR="00B20A7C" w:rsidRPr="00B63545" w:rsidRDefault="003F4AE1" w:rsidP="00B20A7C">
      <w:r w:rsidRPr="00B63545">
        <w:t xml:space="preserve">I tillegg til </w:t>
      </w:r>
      <w:r>
        <w:t xml:space="preserve">internasjonal </w:t>
      </w:r>
      <w:r w:rsidRPr="00B63545">
        <w:t xml:space="preserve">studentutveksling gjennom etablerte avtaler og internasjonale aktiviteter som del av emner eller grader (obligatoriske feltkurs o.l.), finnes </w:t>
      </w:r>
      <w:r>
        <w:t xml:space="preserve">det i dag </w:t>
      </w:r>
      <w:r w:rsidRPr="00B63545">
        <w:t>også andre aktiviteter som bidrar til internasjonalisering på</w:t>
      </w:r>
      <w:r>
        <w:t xml:space="preserve"> ulike vis for studenter og PhD</w:t>
      </w:r>
      <w:r w:rsidRPr="00B63545">
        <w:t>-kandidater.</w:t>
      </w:r>
      <w:r>
        <w:t xml:space="preserve"> </w:t>
      </w:r>
      <w:r w:rsidR="00B20A7C">
        <w:t xml:space="preserve">Dette kan være aktiviteter som </w:t>
      </w:r>
      <w:r w:rsidR="00B20A7C" w:rsidRPr="00B63545">
        <w:t>bidra</w:t>
      </w:r>
      <w:r w:rsidR="00B20A7C">
        <w:t>r</w:t>
      </w:r>
      <w:r w:rsidR="00B20A7C" w:rsidRPr="00B63545">
        <w:t xml:space="preserve"> positivt til å øke interessen for internasjonalt forskningssamarbeid, bidra</w:t>
      </w:r>
      <w:r w:rsidR="00B20A7C">
        <w:t>r</w:t>
      </w:r>
      <w:r w:rsidR="00B20A7C" w:rsidRPr="00B63545">
        <w:t xml:space="preserve"> til økt forståelse for europeiske</w:t>
      </w:r>
      <w:r w:rsidR="00B20A7C">
        <w:t xml:space="preserve"> </w:t>
      </w:r>
      <w:r w:rsidR="00B20A7C" w:rsidRPr="00B63545">
        <w:t>og internasjonale forskningsutfordringer. De kan videre bidra til å bygge opp kontaktnettverk</w:t>
      </w:r>
      <w:r w:rsidR="00B20A7C">
        <w:t>et</w:t>
      </w:r>
      <w:r w:rsidR="00B20A7C" w:rsidRPr="00B63545">
        <w:t xml:space="preserve"> </w:t>
      </w:r>
      <w:r w:rsidR="00B20A7C">
        <w:t xml:space="preserve">til </w:t>
      </w:r>
      <w:r w:rsidR="00B20A7C" w:rsidRPr="00B63545">
        <w:t>studente</w:t>
      </w:r>
      <w:r w:rsidR="00B20A7C">
        <w:t xml:space="preserve">ne og i særdeleshet for </w:t>
      </w:r>
      <w:r>
        <w:t>PhD</w:t>
      </w:r>
      <w:r w:rsidR="00B20A7C" w:rsidRPr="00B63545">
        <w:t>-kandidate</w:t>
      </w:r>
      <w:r w:rsidR="00B20A7C">
        <w:t xml:space="preserve">ne. Videre vil det </w:t>
      </w:r>
      <w:r w:rsidR="00B20A7C" w:rsidRPr="00B63545">
        <w:t xml:space="preserve">knytte forskningsmiljøer sterkere sammen og </w:t>
      </w:r>
      <w:r w:rsidR="00B20A7C">
        <w:t xml:space="preserve">bidra til å </w:t>
      </w:r>
      <w:r w:rsidR="00B20A7C" w:rsidRPr="00B63545">
        <w:t>sikre en videreføring av allerede etablerte forskningssamarbeid.</w:t>
      </w:r>
    </w:p>
    <w:p w:rsidR="00B20A7C" w:rsidRPr="00B63545" w:rsidRDefault="00B20A7C" w:rsidP="00B20A7C">
      <w:pPr>
        <w:pStyle w:val="IntenseQuote"/>
      </w:pPr>
      <w:r w:rsidRPr="00B63545">
        <w:lastRenderedPageBreak/>
        <w:t xml:space="preserve">Inkludering av studenter og </w:t>
      </w:r>
      <w:r w:rsidR="003F4AE1">
        <w:t>PhD</w:t>
      </w:r>
      <w:r w:rsidRPr="00B63545">
        <w:t>-kandidater i EU-finansierte prosjekter kan være en måte å oppnå økt interesse for og erfaring med internasjonalisering på et tidlig tidspunkt i utdanning og karriere.</w:t>
      </w:r>
    </w:p>
    <w:p w:rsidR="00B20A7C" w:rsidRPr="00B63545" w:rsidRDefault="00B20A7C" w:rsidP="00B20A7C">
      <w:pPr>
        <w:pStyle w:val="NoSpacing"/>
      </w:pPr>
    </w:p>
    <w:p w:rsidR="00B20A7C" w:rsidRPr="00B63545" w:rsidRDefault="00B20A7C" w:rsidP="00B20A7C">
      <w:pPr>
        <w:rPr>
          <w:rStyle w:val="IntenseEmphasis"/>
        </w:rPr>
      </w:pPr>
      <w:r w:rsidRPr="00B63545">
        <w:rPr>
          <w:rStyle w:val="IntenseEmphasis"/>
        </w:rPr>
        <w:t xml:space="preserve">Eksempel 1: </w:t>
      </w:r>
      <w:r>
        <w:rPr>
          <w:rStyle w:val="IntenseEmphasis"/>
        </w:rPr>
        <w:t xml:space="preserve">Kurs </w:t>
      </w:r>
      <w:r w:rsidRPr="00B63545">
        <w:rPr>
          <w:rStyle w:val="IntenseEmphasis"/>
        </w:rPr>
        <w:t>for PhD-student</w:t>
      </w:r>
      <w:r>
        <w:rPr>
          <w:rStyle w:val="IntenseEmphasis"/>
        </w:rPr>
        <w:t>er</w:t>
      </w:r>
      <w:r w:rsidRPr="00B63545">
        <w:rPr>
          <w:rStyle w:val="IntenseEmphasis"/>
        </w:rPr>
        <w:t>/postdo</w:t>
      </w:r>
      <w:r>
        <w:rPr>
          <w:rStyle w:val="IntenseEmphasis"/>
        </w:rPr>
        <w:t>ktorer ved institusjonene i METOXIA-prosjektet</w:t>
      </w:r>
    </w:p>
    <w:p w:rsidR="00B20A7C" w:rsidRDefault="00B20A7C" w:rsidP="00B20A7C">
      <w:r>
        <w:t xml:space="preserve">Det er ikke uvanlig at man som del av et EU-forskningsprosjekt også legger inn faglige samlinger eller kurs for </w:t>
      </w:r>
      <w:r w:rsidR="003F4AE1">
        <w:t>PhD</w:t>
      </w:r>
      <w:r w:rsidRPr="00667F2B">
        <w:t>-kandidater</w:t>
      </w:r>
      <w:r>
        <w:t xml:space="preserve"> og postdoktorer til prosjektpartnerne. Dette bidrar både til egen faglig utvikling og til nettverksbygging.</w:t>
      </w:r>
    </w:p>
    <w:p w:rsidR="00B20A7C" w:rsidRPr="00CB4F9A" w:rsidRDefault="00B20A7C" w:rsidP="00B20A7C">
      <w:pPr>
        <w:rPr>
          <w:lang w:val="en-US"/>
        </w:rPr>
      </w:pPr>
      <w:r w:rsidRPr="00667F2B">
        <w:t>EU-prosjektet METOXIA</w:t>
      </w:r>
      <w:r>
        <w:rPr>
          <w:rStyle w:val="FootnoteReference"/>
        </w:rPr>
        <w:footnoteReference w:id="1"/>
      </w:r>
      <w:r w:rsidRPr="00667F2B">
        <w:t xml:space="preserve"> </w:t>
      </w:r>
      <w:r>
        <w:t xml:space="preserve">til professor Erik O. Pettersen </w:t>
      </w:r>
      <w:r w:rsidRPr="00667F2B">
        <w:t>ved Fysisk Institutt</w:t>
      </w:r>
      <w:r>
        <w:t xml:space="preserve"> </w:t>
      </w:r>
      <w:r w:rsidRPr="00667F2B">
        <w:t xml:space="preserve">har som ett tillegg til forskningen i prosjektet inkludert en opplæringsdel i form av et kurs for </w:t>
      </w:r>
      <w:r w:rsidR="003F4AE1">
        <w:t>PhD</w:t>
      </w:r>
      <w:r w:rsidRPr="00667F2B">
        <w:t>-kandidater</w:t>
      </w:r>
      <w:r>
        <w:t xml:space="preserve"> og postdoktorer</w:t>
      </w:r>
      <w:r w:rsidRPr="00667F2B">
        <w:t xml:space="preserve">. </w:t>
      </w:r>
      <w:r w:rsidRPr="00CB4F9A">
        <w:rPr>
          <w:lang w:val="en-US"/>
        </w:rPr>
        <w:t>Topic: Tumour Hypoxia: From Biology to Therapy III, 10-13 Oktober 2012, University of Maastricht/NH Hotel Maastricht, Nederland.</w:t>
      </w:r>
    </w:p>
    <w:p w:rsidR="00B20A7C" w:rsidRPr="005744C9" w:rsidRDefault="00B20A7C" w:rsidP="00B20A7C">
      <w:r w:rsidRPr="005744C9">
        <w:t xml:space="preserve">METOXIA partnerne representerer 21 akademiske og ikke-akademiske institusjoner (universiteter, sykehus, og et par SMBer) i 11 europeiske land. </w:t>
      </w:r>
      <w:r w:rsidR="00A2375F" w:rsidRPr="005744C9">
        <w:t xml:space="preserve">55 personer deltok på kurset, hvorav omlag 35 studenter/PhD-kandidater. Programmet var satt sammen med foredrag fra erfarne forskere, poster sesjoner, student-poster-presentasjoner i plenum, faglige diskusjoner, samt en profesjonell workshop i «kreativ tankegang og utvikling av potensial» for studenter/PhD-kandidater, og uformell sosial nettverksbygging. </w:t>
      </w:r>
      <w:r w:rsidRPr="005744C9">
        <w:t>Et diplom ble gitt som bevis på gjennomført kurs, og enkelte studenter fikk kurset formelt poeng-godkjent ved egen institusjon.</w:t>
      </w:r>
    </w:p>
    <w:p w:rsidR="00B20A7C" w:rsidRPr="00B4013F" w:rsidRDefault="00B20A7C" w:rsidP="00B20A7C">
      <w:pPr>
        <w:rPr>
          <w:rStyle w:val="IntenseEmphasis"/>
        </w:rPr>
      </w:pPr>
      <w:r w:rsidRPr="00B4013F">
        <w:rPr>
          <w:rStyle w:val="IntenseEmphasis"/>
        </w:rPr>
        <w:t>Eksempel 2: Utvekslingsbesøk mellom Albert-Ludwigs-Universität Freiburg (ALU-FR) og Universitetet i Oslo, Fysisk Institutt – relatert til METOXIA-prosjektet</w:t>
      </w:r>
    </w:p>
    <w:p w:rsidR="00B20A7C" w:rsidRDefault="00B20A7C" w:rsidP="00B20A7C">
      <w:r>
        <w:t>UiO har parallelt til løpende EU-prosjekter mottatt studenter fra prosjektpartnere i utlandet (universiteter) på hospitering/utplassering hos oss.</w:t>
      </w:r>
    </w:p>
    <w:p w:rsidR="00B20A7C" w:rsidRPr="00B63545" w:rsidRDefault="00A2375F" w:rsidP="00B20A7C">
      <w:r>
        <w:t>PhD</w:t>
      </w:r>
      <w:r w:rsidR="00B20A7C" w:rsidRPr="00B63545">
        <w:t>-kandidat Julia Marzioch (ALU-FR) var utplassert i 6 måneder i 2012/2013 ved Biofysikk og medisinsk fysikk ved UiO.  Formål: 1) at hun skulle få en grundig opplæring i dyrking av celler i kultur slik at miljøet i Freiburg får kompetanse på dette området og 2) at hun skulle teste ut to ulike sensorer (en som er utviklet i Freiburg) for å måle radikalet NO (nitrogenmonoksid) i cellekulturmediet. Dette er blant annet relevant for UiOs egen forskergruppe og Nina F. Jeppesen Edin sin forskning. Opphold og reiseutgifter var dekket av METOXIA-prosjektet.</w:t>
      </w:r>
    </w:p>
    <w:p w:rsidR="00B20A7C" w:rsidRPr="00B63545" w:rsidRDefault="00B20A7C" w:rsidP="00B20A7C">
      <w:pPr>
        <w:rPr>
          <w:rStyle w:val="IntenseEmphasis"/>
        </w:rPr>
      </w:pPr>
      <w:r w:rsidRPr="00B63545">
        <w:rPr>
          <w:rStyle w:val="IntenseEmphasis"/>
        </w:rPr>
        <w:t>Eksempel 3: MUTHI, studenter i Mali</w:t>
      </w:r>
    </w:p>
    <w:p w:rsidR="00B20A7C" w:rsidRDefault="00B20A7C" w:rsidP="00B20A7C">
      <w:r w:rsidRPr="00B63545">
        <w:t xml:space="preserve">Flere studenter har parallelt med løpende </w:t>
      </w:r>
      <w:r>
        <w:t>EU-</w:t>
      </w:r>
      <w:r w:rsidRPr="00B63545">
        <w:t>prosjekter hospitert h</w:t>
      </w:r>
      <w:r>
        <w:t>os prosjektpartnere i utlandet.</w:t>
      </w:r>
    </w:p>
    <w:p w:rsidR="00B20A7C" w:rsidRPr="00B20A7C" w:rsidRDefault="00B20A7C" w:rsidP="00B20A7C">
      <w:r w:rsidRPr="00B63545">
        <w:t>Dette gjelder for eksempel for MUTHI</w:t>
      </w:r>
      <w:r>
        <w:rPr>
          <w:rStyle w:val="FootnoteReference"/>
        </w:rPr>
        <w:footnoteReference w:id="2"/>
      </w:r>
      <w:r w:rsidRPr="00B63545">
        <w:t>-prosjektet</w:t>
      </w:r>
      <w:r>
        <w:t xml:space="preserve"> til professor Berit Paulsen ved Farmasøytisk Institutt. </w:t>
      </w:r>
      <w:r w:rsidR="00A2375F">
        <w:t xml:space="preserve">MUTHI </w:t>
      </w:r>
      <w:r w:rsidR="00A2375F" w:rsidRPr="00B63545">
        <w:t>har sendt studenter til samarbeidspart</w:t>
      </w:r>
      <w:r w:rsidR="00A2375F">
        <w:t>nerne i Mali (USTTB, 1-4 mnd., Master og PhD</w:t>
      </w:r>
      <w:r w:rsidR="00A2375F" w:rsidRPr="00B63545">
        <w:t>), Sør-Af</w:t>
      </w:r>
      <w:r w:rsidR="00A2375F">
        <w:t>rika (UWC, 1 mnd., M</w:t>
      </w:r>
      <w:r w:rsidR="00A2375F" w:rsidRPr="00B63545">
        <w:t xml:space="preserve">aster) og England (University of Nottingham, antall ukjent). </w:t>
      </w:r>
      <w:r w:rsidRPr="00B63545">
        <w:t>Disse oppho</w:t>
      </w:r>
      <w:r>
        <w:t>ldende er finansiert av moderin</w:t>
      </w:r>
      <w:r w:rsidRPr="00B63545">
        <w:t xml:space="preserve">stitusjonen, men noe av deres kostnader har </w:t>
      </w:r>
      <w:r>
        <w:t>vært belastet</w:t>
      </w:r>
      <w:r w:rsidRPr="00B63545">
        <w:t xml:space="preserve"> prosjektet, der det har vært i samsvar med gjeldende reglement. Ved å hospitere hos</w:t>
      </w:r>
      <w:r>
        <w:t>,</w:t>
      </w:r>
      <w:r w:rsidRPr="00B63545">
        <w:t xml:space="preserve"> i særlig grad</w:t>
      </w:r>
      <w:r>
        <w:t>,</w:t>
      </w:r>
      <w:r w:rsidRPr="00B63545">
        <w:t xml:space="preserve"> de afrikanske partnerne har studentene kommet i kontakt med råmaterialet sitt på en helt annen måte enn ellers mulig, i tillegg til den generelle akademiske utvekslingen.</w:t>
      </w:r>
      <w:r w:rsidRPr="00B4013F">
        <w:t xml:space="preserve"> </w:t>
      </w:r>
    </w:p>
    <w:p w:rsidR="00B20A7C" w:rsidRPr="00B63545" w:rsidRDefault="00B20A7C" w:rsidP="00B20A7C">
      <w:pPr>
        <w:rPr>
          <w:rStyle w:val="IntenseEmphasis"/>
        </w:rPr>
      </w:pPr>
      <w:r w:rsidRPr="00B63545">
        <w:rPr>
          <w:rStyle w:val="IntenseEmphasis"/>
        </w:rPr>
        <w:lastRenderedPageBreak/>
        <w:t>Eksempel 4: Nettverksbygging</w:t>
      </w:r>
    </w:p>
    <w:p w:rsidR="00B20A7C" w:rsidRDefault="00B20A7C" w:rsidP="00B20A7C">
      <w:r w:rsidRPr="00B63545">
        <w:t>Flere prosjekter har gjennom korte utenlandsopphold og innkommende besøk aktivt bidratt til unge forskeres nettverksbygging. Dette har hatt som formål å bygge den enkeltes akademiske nettverk, og å bygge kompetanse kontra kommende inte</w:t>
      </w:r>
      <w:r>
        <w:t>rnasjonal akademisk virksomhet.</w:t>
      </w:r>
    </w:p>
    <w:p w:rsidR="00B20A7C" w:rsidRPr="00B63545" w:rsidRDefault="00A2375F" w:rsidP="00B20A7C">
      <w:r>
        <w:t>Gjennom MUTHI har PhD</w:t>
      </w:r>
      <w:r w:rsidRPr="00B63545">
        <w:t>-</w:t>
      </w:r>
      <w:r>
        <w:t>kandidatene</w:t>
      </w:r>
      <w:r w:rsidRPr="00B63545">
        <w:t xml:space="preserve"> Zhang og Zou blitt invitert til å formidle forskningsresultater i et internasjonalt miljø, med reise og opphold beta</w:t>
      </w:r>
      <w:r>
        <w:t>lt over prosjektets formidlings</w:t>
      </w:r>
      <w:r w:rsidRPr="00B63545">
        <w:t xml:space="preserve">budsjett. </w:t>
      </w:r>
      <w:r w:rsidR="00B20A7C" w:rsidRPr="00B63545">
        <w:t xml:space="preserve">Prosjekter har også </w:t>
      </w:r>
      <w:r w:rsidR="00B20A7C">
        <w:t>tilrettelagt for</w:t>
      </w:r>
      <w:r w:rsidR="00B20A7C" w:rsidRPr="00B63545">
        <w:t xml:space="preserve"> innkommende forskningsopphold, hvor en del av he</w:t>
      </w:r>
      <w:r w:rsidR="00B20A7C">
        <w:t>nsikten har vært å etabler</w:t>
      </w:r>
      <w:r w:rsidR="00B20A7C" w:rsidRPr="00B63545">
        <w:t>e kontaktpunkter mellom UiO og den besøkende in</w:t>
      </w:r>
      <w:r w:rsidR="00B20A7C">
        <w:t>stitusjonen, i dette tilfellet i</w:t>
      </w:r>
      <w:r w:rsidR="00B20A7C" w:rsidRPr="00B63545">
        <w:t xml:space="preserve"> Uganda og Mali.</w:t>
      </w:r>
    </w:p>
    <w:p w:rsidR="00B20A7C" w:rsidRPr="00B63545" w:rsidRDefault="00B20A7C" w:rsidP="00B20A7C">
      <w:pPr>
        <w:rPr>
          <w:rStyle w:val="IntenseEmphasis"/>
        </w:rPr>
      </w:pPr>
      <w:r w:rsidRPr="00B63545">
        <w:rPr>
          <w:rStyle w:val="IntenseEmphasis"/>
        </w:rPr>
        <w:t>Eksempel 5: Administrativ opplæring</w:t>
      </w:r>
    </w:p>
    <w:p w:rsidR="00B20A7C" w:rsidRDefault="00B20A7C" w:rsidP="00B20A7C">
      <w:r w:rsidRPr="00B63545">
        <w:t xml:space="preserve">Noen av UiOs større prosjekter har en innebygget komponent med </w:t>
      </w:r>
      <w:r>
        <w:t>«</w:t>
      </w:r>
      <w:r w:rsidRPr="00B63545">
        <w:t>de facto</w:t>
      </w:r>
      <w:r>
        <w:t>»</w:t>
      </w:r>
      <w:r w:rsidRPr="00B63545">
        <w:t xml:space="preserve"> prosjektlederopplæring av yngre forskere. I samråd med prosjektleder/professor og tilhørende administrativ støtte driver disse prosjektet på daglig basis. Dette har blant annet vært gjort i MAHEATT</w:t>
      </w:r>
      <w:r>
        <w:rPr>
          <w:rStyle w:val="FootnoteReference"/>
        </w:rPr>
        <w:footnoteReference w:id="3"/>
      </w:r>
      <w:r>
        <w:t xml:space="preserve"> ved Kjemisk Institutt (SMN)</w:t>
      </w:r>
      <w:r w:rsidRPr="00B63545">
        <w:t xml:space="preserve">, hvor Agniezska Soba støttet </w:t>
      </w:r>
      <w:r>
        <w:t>p</w:t>
      </w:r>
      <w:r w:rsidRPr="00B63545">
        <w:t>rofessor Fjellvåg,</w:t>
      </w:r>
      <w:r>
        <w:t xml:space="preserve"> samt </w:t>
      </w:r>
      <w:r w:rsidRPr="00B63545">
        <w:t>i O</w:t>
      </w:r>
      <w:r>
        <w:t>ptique</w:t>
      </w:r>
      <w:r>
        <w:rPr>
          <w:rStyle w:val="FootnoteReference"/>
        </w:rPr>
        <w:footnoteReference w:id="4"/>
      </w:r>
      <w:r>
        <w:t xml:space="preserve"> ved IFI</w:t>
      </w:r>
      <w:r w:rsidRPr="00B63545">
        <w:t>, hvor professor Waaler støttes av Rudi Schlatte, og i ELECTRA</w:t>
      </w:r>
      <w:r>
        <w:rPr>
          <w:rStyle w:val="FootnoteReference"/>
        </w:rPr>
        <w:footnoteReference w:id="5"/>
      </w:r>
      <w:r w:rsidRPr="00B63545">
        <w:t xml:space="preserve">, </w:t>
      </w:r>
      <w:r>
        <w:t xml:space="preserve">kjemisk institutt (SMN) </w:t>
      </w:r>
      <w:r w:rsidRPr="00B63545">
        <w:t>hvor Einar Vøllestad skal ha det daglige ansvaret for</w:t>
      </w:r>
      <w:r>
        <w:t xml:space="preserve"> professor </w:t>
      </w:r>
      <w:r w:rsidRPr="00B63545">
        <w:t>Truls Norbys prosjekt.</w:t>
      </w:r>
    </w:p>
    <w:p w:rsidR="00C70161" w:rsidRDefault="00C70161" w:rsidP="00775247">
      <w:pPr>
        <w:pStyle w:val="Heading2"/>
        <w:ind w:firstLine="708"/>
      </w:pPr>
    </w:p>
    <w:p w:rsidR="00775247" w:rsidRPr="007F579B" w:rsidRDefault="00775247" w:rsidP="00775247">
      <w:pPr>
        <w:pStyle w:val="Heading2"/>
        <w:ind w:firstLine="708"/>
      </w:pPr>
      <w:r>
        <w:t>1.7 Ansattmobilitet gjennom Erasmus</w:t>
      </w:r>
    </w:p>
    <w:p w:rsidR="000C306A" w:rsidRDefault="00A2375F" w:rsidP="00B20A7C">
      <w:r>
        <w:t xml:space="preserve">Gjennom Erasmus LLP (Lifelong Learning Program) har det vært muligheter for å reise til Erasmus partneruniversiteter eller bedrifter i EU. </w:t>
      </w:r>
      <w:r w:rsidR="002917FF">
        <w:t>Dette kan benyttes av</w:t>
      </w:r>
      <w:r w:rsidR="000C306A">
        <w:t xml:space="preserve"> vitenskapelige ansatte, PhD studenter og </w:t>
      </w:r>
      <w:r w:rsidR="002917FF">
        <w:t>teknisk-</w:t>
      </w:r>
      <w:r w:rsidR="000C306A">
        <w:t>administrativt ansatte.</w:t>
      </w:r>
      <w:r w:rsidR="002917FF">
        <w:t xml:space="preserve"> Oppholdet kan vare 1-6 uker, men er vanlig med en uke (5 dager), stipendet for 2013 var ett flatt tilskudd på 800 EURO. Aktiviteter kan være ‘job shadowing’, workshops, labopplæring, metodekurs, opphold i en bedrift eller språkkurs.</w:t>
      </w:r>
      <w:r w:rsidR="00BD5933">
        <w:t xml:space="preserve"> I 2013-14 ble det tildelt 28 stipender ved UiO og MN hadde kun 2 av disse. Ansattmobilitet av Elisabeth Thuestad Isaksen (CEES) til Barcelona, Spania, og undervisningsmobilitet av Pål Rognved (Farmasi) til Lyon, Frankrike.</w:t>
      </w:r>
    </w:p>
    <w:p w:rsidR="002917FF" w:rsidRDefault="002917FF" w:rsidP="00B20A7C"/>
    <w:p w:rsidR="00772101" w:rsidRPr="007F579B" w:rsidRDefault="0054046B" w:rsidP="00A1091A">
      <w:pPr>
        <w:pStyle w:val="Heading2"/>
        <w:ind w:firstLine="708"/>
      </w:pPr>
      <w:r>
        <w:t>1.</w:t>
      </w:r>
      <w:r w:rsidR="00775247">
        <w:t>8</w:t>
      </w:r>
      <w:r w:rsidR="001C09FF">
        <w:t xml:space="preserve"> </w:t>
      </w:r>
      <w:r w:rsidR="00772101" w:rsidRPr="007F579B">
        <w:t>Annen aktivitet</w:t>
      </w:r>
    </w:p>
    <w:p w:rsidR="00B20A7C" w:rsidRDefault="00B20A7C" w:rsidP="00B20A7C">
      <w:r>
        <w:t>Fysisk institutt har kartlagt sine aktiviteter som ligger utenfor de som blir rapporterte i utveksling og UNIS opphold;</w:t>
      </w:r>
    </w:p>
    <w:p w:rsidR="00B20A7C" w:rsidRDefault="00B20A7C" w:rsidP="00B20A7C">
      <w:pPr>
        <w:rPr>
          <w:i/>
        </w:rPr>
      </w:pPr>
      <w:r w:rsidRPr="00B20A7C">
        <w:rPr>
          <w:b/>
          <w:i/>
        </w:rPr>
        <w:t>Eksempel 1: CaNoRock / FYS2280</w:t>
      </w:r>
      <w:r>
        <w:rPr>
          <w:i/>
        </w:rPr>
        <w:t xml:space="preserve"> </w:t>
      </w:r>
    </w:p>
    <w:p w:rsidR="00B20A7C" w:rsidRDefault="00B20A7C" w:rsidP="00B20A7C">
      <w:r>
        <w:t xml:space="preserve">Et emne på 5 sp som går over én uke. Det undervises på Andøya Rocket Range og er et samarbeid mellom UiO/UiB/UiTø og University og Calgary/U of Alberta/ </w:t>
      </w:r>
      <w:r w:rsidR="00A2375F">
        <w:t>U of</w:t>
      </w:r>
      <w:r>
        <w:t xml:space="preserve"> Saskatchewan. Det er plass til 11 studenter fra Norge og 11 studenter fra Canada. Hele uken jobber de sammen i grupper for å lage ferdig en rakett som skytes opp den siste dagen. Emnet tilbys i begynnelsen av hvert semester.</w:t>
      </w:r>
    </w:p>
    <w:p w:rsidR="00B20A7C" w:rsidRPr="00B20A7C" w:rsidRDefault="00B20A7C" w:rsidP="00B20A7C">
      <w:pPr>
        <w:rPr>
          <w:b/>
          <w:i/>
        </w:rPr>
      </w:pPr>
      <w:r w:rsidRPr="00B20A7C">
        <w:rPr>
          <w:b/>
          <w:i/>
        </w:rPr>
        <w:t>Eksempel 2: CaNoRock STEP – PhD-school</w:t>
      </w:r>
    </w:p>
    <w:p w:rsidR="00B20A7C" w:rsidRDefault="00B20A7C" w:rsidP="00B20A7C">
      <w:r>
        <w:t xml:space="preserve">Et </w:t>
      </w:r>
      <w:r w:rsidR="00A2375F">
        <w:t>emne på</w:t>
      </w:r>
      <w:r>
        <w:t xml:space="preserve"> 5 </w:t>
      </w:r>
      <w:r w:rsidR="00A2375F">
        <w:t>sp som</w:t>
      </w:r>
      <w:r>
        <w:t xml:space="preserve"> totalt tar </w:t>
      </w:r>
      <w:r w:rsidR="00A2375F">
        <w:t>ca.</w:t>
      </w:r>
      <w:r>
        <w:t xml:space="preserve"> 14 dager (med etterarbeid). </w:t>
      </w:r>
      <w:r w:rsidR="00A2375F">
        <w:t xml:space="preserve">PhD-kandidater fra Norge og Canada (UiO/UiB/UiTø/UNIS og University og Calgary/U of Alberta/ U of Saskatchewan) møtes på eksternt sted, </w:t>
      </w:r>
      <w:r w:rsidR="00A2375F">
        <w:lastRenderedPageBreak/>
        <w:t xml:space="preserve">vekselvis i Canada og Norge, og jobber sammen med artikkelstoff. </w:t>
      </w:r>
      <w:r>
        <w:t>Det er også noe undervisning. Tilbys én gang i året.</w:t>
      </w:r>
    </w:p>
    <w:p w:rsidR="00B20A7C" w:rsidRPr="00A2375F" w:rsidRDefault="008C78BA" w:rsidP="00B20A7C">
      <w:hyperlink r:id="rId18" w:history="1">
        <w:r w:rsidR="00B20A7C" w:rsidRPr="0000123A">
          <w:rPr>
            <w:rStyle w:val="Hyperlink"/>
          </w:rPr>
          <w:t>http://www.mn.uio.no/fysikk/english/research/projects/canorock-step/phd-school/</w:t>
        </w:r>
      </w:hyperlink>
    </w:p>
    <w:p w:rsidR="00B20A7C" w:rsidRPr="00A66E34" w:rsidRDefault="00B20A7C" w:rsidP="00B20A7C">
      <w:pPr>
        <w:rPr>
          <w:i/>
          <w:lang w:val="fr-FR"/>
        </w:rPr>
      </w:pPr>
      <w:r w:rsidRPr="00E91742">
        <w:rPr>
          <w:b/>
          <w:i/>
          <w:lang w:val="fr-FR"/>
        </w:rPr>
        <w:t>Eksempel</w:t>
      </w:r>
      <w:r w:rsidRPr="00A66E34">
        <w:rPr>
          <w:b/>
          <w:i/>
          <w:lang w:val="fr-FR"/>
        </w:rPr>
        <w:t xml:space="preserve"> 3: CERN(Conseil </w:t>
      </w:r>
      <w:r w:rsidR="00A2375F" w:rsidRPr="00A66E34">
        <w:rPr>
          <w:b/>
          <w:i/>
          <w:lang w:val="fr-FR"/>
        </w:rPr>
        <w:t>européen</w:t>
      </w:r>
      <w:r w:rsidRPr="00A66E34">
        <w:rPr>
          <w:b/>
          <w:i/>
          <w:lang w:val="fr-FR"/>
        </w:rPr>
        <w:t xml:space="preserve"> pour la recherche </w:t>
      </w:r>
      <w:r w:rsidR="00A2375F" w:rsidRPr="00A66E34">
        <w:rPr>
          <w:b/>
          <w:i/>
          <w:lang w:val="fr-FR"/>
        </w:rPr>
        <w:t>nucléaire</w:t>
      </w:r>
      <w:r w:rsidRPr="00A66E34">
        <w:rPr>
          <w:b/>
          <w:i/>
          <w:lang w:val="fr-FR"/>
        </w:rPr>
        <w:t>), Sveits</w:t>
      </w:r>
      <w:r w:rsidRPr="00A66E34">
        <w:rPr>
          <w:i/>
          <w:lang w:val="fr-FR"/>
        </w:rPr>
        <w:t xml:space="preserve"> </w:t>
      </w:r>
    </w:p>
    <w:p w:rsidR="00B20A7C" w:rsidRDefault="00B20A7C" w:rsidP="00B20A7C">
      <w:r>
        <w:t xml:space="preserve">I emnene FYS4550 og FYS4560 er det lagt inn besøk til CERN. Studentene er der </w:t>
      </w:r>
      <w:r w:rsidR="00A2375F">
        <w:t>ca.</w:t>
      </w:r>
      <w:r>
        <w:t xml:space="preserve"> 5 dager og får et innblikk/innføring i hvordan de jobber på CERN. Instituttet sponser halvparten av utgiftene.</w:t>
      </w:r>
    </w:p>
    <w:p w:rsidR="00B20A7C" w:rsidRPr="00B20A7C" w:rsidRDefault="00B20A7C" w:rsidP="00B20A7C">
      <w:pPr>
        <w:rPr>
          <w:b/>
        </w:rPr>
      </w:pPr>
      <w:r w:rsidRPr="00B20A7C">
        <w:rPr>
          <w:b/>
        </w:rPr>
        <w:t>Eksempel 4: SAFE (</w:t>
      </w:r>
      <w:r w:rsidRPr="00B20A7C">
        <w:rPr>
          <w:rFonts w:cs="Arial"/>
          <w:b/>
          <w:color w:val="2B2B2B"/>
        </w:rPr>
        <w:t>Senter for akseleratorbasert forskning og energifysikk)</w:t>
      </w:r>
    </w:p>
    <w:p w:rsidR="00B20A7C" w:rsidRDefault="00B20A7C" w:rsidP="00B20A7C">
      <w:r w:rsidRPr="00B20A7C">
        <w:t>SAFE</w:t>
      </w:r>
      <w:r w:rsidRPr="00A317E4">
        <w:t>-</w:t>
      </w:r>
      <w:r>
        <w:t xml:space="preserve">miljøet på fysisk institutt, ved Sunniva Siem, tilbyr </w:t>
      </w:r>
      <w:r w:rsidR="00A2375F">
        <w:t>'scholarships'</w:t>
      </w:r>
      <w:r>
        <w:t xml:space="preserve"> til 3-4 studenter hvert år. Studentene jobber på et prosjekt, og skriver en rapport, tilsvarende </w:t>
      </w:r>
      <w:r w:rsidR="00A2375F">
        <w:t>ca.</w:t>
      </w:r>
      <w:r>
        <w:t xml:space="preserve"> 20 sp. I tillegg må de normalt ta et emne som undervises av gruppen.  </w:t>
      </w:r>
      <w:hyperlink r:id="rId19" w:history="1">
        <w:r w:rsidRPr="00A05C29">
          <w:rPr>
            <w:rStyle w:val="Hyperlink"/>
          </w:rPr>
          <w:t>http://www.mn.uio.no/fysikk/english/research/news-and-events/news/2012/student-scholarship-in-nonproliferation-and-disarmament.html</w:t>
        </w:r>
      </w:hyperlink>
    </w:p>
    <w:p w:rsidR="007F579B" w:rsidRDefault="00C979A6" w:rsidP="001C09FF">
      <w:pPr>
        <w:pStyle w:val="Heading1"/>
        <w:numPr>
          <w:ilvl w:val="0"/>
          <w:numId w:val="6"/>
        </w:numPr>
      </w:pPr>
      <w:r>
        <w:t>Tidligere ti</w:t>
      </w:r>
      <w:r w:rsidR="007F579B" w:rsidRPr="007F579B">
        <w:t>ltaksplaner</w:t>
      </w:r>
    </w:p>
    <w:p w:rsidR="007F579B" w:rsidRDefault="007F579B" w:rsidP="00A3595D">
      <w:r>
        <w:t>En strategi for internasjonalisering og utveksling ble utarbeidet</w:t>
      </w:r>
      <w:r w:rsidR="006B17E1">
        <w:t xml:space="preserve"> av en arbeidsgruppe på fakultetet</w:t>
      </w:r>
      <w:r>
        <w:t xml:space="preserve"> i 2004 og denne ble revidert i 2007. I tillegg ble noen </w:t>
      </w:r>
      <w:r w:rsidR="00A2375F">
        <w:t>tiltak</w:t>
      </w:r>
      <w:r>
        <w:t xml:space="preserve"> utarbeidet i forbindelse med internasjonaliseringsåret 2012.</w:t>
      </w:r>
    </w:p>
    <w:p w:rsidR="00DA6C35" w:rsidRDefault="00A66E34" w:rsidP="00A3595D">
      <w:r>
        <w:t>Strategiene</w:t>
      </w:r>
      <w:r w:rsidR="007F579B">
        <w:t xml:space="preserve"> fra 2004 fokuserte på utarbeidelse av emne</w:t>
      </w:r>
      <w:r>
        <w:t>r</w:t>
      </w:r>
      <w:r w:rsidR="00DA6C35">
        <w:t xml:space="preserve"> og informasjon</w:t>
      </w:r>
      <w:r>
        <w:t xml:space="preserve"> på engelsk</w:t>
      </w:r>
      <w:r w:rsidR="00DA6C35">
        <w:t>, spesielt for å fremstå som en attraktiv institusjon for internasjonale studenter og partnere</w:t>
      </w:r>
      <w:r>
        <w:t xml:space="preserve">. </w:t>
      </w:r>
      <w:r w:rsidR="00A2375F">
        <w:t xml:space="preserve">Dette har vært veldig viktig, både for våre helgradsstudenter som skal ut i et internasjonalt arbeidsmarked etter endt studium og mulighetene for innreisende utvekslingsstudenter. </w:t>
      </w:r>
      <w:r w:rsidR="006B17E1">
        <w:t>Dette arbeidet ble i stor grad gjennomført og v</w:t>
      </w:r>
      <w:r>
        <w:t>i er det fakultetet ved UiO med klart flest</w:t>
      </w:r>
      <w:r w:rsidR="001C48BE">
        <w:t xml:space="preserve"> emner på engelsk, for øyeblikket har vi 530 emner som tilbys på engelsk (vår 2014, høst 2014) (71 bachelor, 279 master, 180 PhD, med noe overlapp), mens HF har 249 emner (</w:t>
      </w:r>
      <w:r w:rsidR="008B3361">
        <w:t>86</w:t>
      </w:r>
      <w:r w:rsidR="001C48BE">
        <w:t xml:space="preserve"> bachelor, </w:t>
      </w:r>
      <w:r w:rsidR="008B3361">
        <w:t>158</w:t>
      </w:r>
      <w:r w:rsidR="001C48BE">
        <w:t xml:space="preserve"> master, med noe overlapp), SV </w:t>
      </w:r>
      <w:r w:rsidR="008B3361">
        <w:t>126</w:t>
      </w:r>
      <w:r w:rsidR="001C48BE">
        <w:t xml:space="preserve"> emner (3</w:t>
      </w:r>
      <w:r w:rsidR="008B3361">
        <w:t>0</w:t>
      </w:r>
      <w:r w:rsidR="001C48BE">
        <w:t xml:space="preserve"> bachelor, </w:t>
      </w:r>
      <w:r w:rsidR="008B3361">
        <w:t>78</w:t>
      </w:r>
      <w:r w:rsidR="001C48BE">
        <w:t xml:space="preserve"> master, </w:t>
      </w:r>
      <w:r w:rsidR="008B3361">
        <w:t>14</w:t>
      </w:r>
      <w:r w:rsidR="001C48BE">
        <w:t xml:space="preserve"> PhD, med noe overlapp)</w:t>
      </w:r>
      <w:r w:rsidR="008B3361">
        <w:t>. Alle våre masterprogrammer tilbys på engelsk, med unntak av</w:t>
      </w:r>
      <w:r w:rsidR="0097044C">
        <w:t xml:space="preserve"> Elektronikk og datateknologi og noen studieretninger,</w:t>
      </w:r>
      <w:r w:rsidR="008B3361">
        <w:t xml:space="preserve"> og alle bachelorp</w:t>
      </w:r>
      <w:r w:rsidR="00DA6C35">
        <w:t>rogrammene tilbyr emner på 3000-</w:t>
      </w:r>
      <w:r w:rsidR="008B3361">
        <w:t>nivå på engelsk, unntatt farmasi.</w:t>
      </w:r>
      <w:r w:rsidR="00DA6C35">
        <w:t xml:space="preserve"> Evalueringen av strategien gjennomgikk hva som hadde blitt oppnådd og hva som gjenstod, men alle konkrete forslag er fulgt opp i ettertid.</w:t>
      </w:r>
    </w:p>
    <w:p w:rsidR="00722EC8" w:rsidRDefault="00DA6C35" w:rsidP="00A3595D">
      <w:r>
        <w:t>Planene for internasjonaliseringsåret 2012 fokuserte på arbeid med å øke antallet utreisende utvekslingsstudenter, ifølge tiltak 1b i årsplanen. Forslag til tiltak inkluderte at det skulle utarbeides konkrete emneanbefalinger for utvekslingsavtalene for hvert program og at fagmiljøene skulle oppfordres til å velge ut noen avtalepartnere der</w:t>
      </w:r>
      <w:r w:rsidR="00C12207">
        <w:t xml:space="preserve"> samarbeidet kunne styrkes.  Konkrete prosjekter som nevnes er CaNoRock </w:t>
      </w:r>
      <w:r w:rsidR="00F834EE">
        <w:t xml:space="preserve">STEP </w:t>
      </w:r>
      <w:r w:rsidR="00C12207">
        <w:t xml:space="preserve">samarbeidet på Fysisk institutt og ny avtale etablert mellom San Jose State University i USA og Institutt for Informatikk. Det har vært blandet fremdrift med disse målsetningene. </w:t>
      </w:r>
      <w:r w:rsidR="00A2375F">
        <w:t xml:space="preserve">Konkrete emneanbefalinger (også omtalt som emnepakker) har det forsøksvis vært fokus på, men dette er ansett for å ha vært for tid- og resurskrevende, og de fleste programmer har ikke gjort dette ennå. </w:t>
      </w:r>
      <w:r w:rsidR="00C12207">
        <w:t>Et unntak er San Jose State University avtale</w:t>
      </w:r>
      <w:r w:rsidR="00012C5F">
        <w:t xml:space="preserve">n </w:t>
      </w:r>
      <w:r w:rsidR="00C12207">
        <w:t>som fungerer veldig bra. Studentene melder at de er trygge på hvilke emner de kan ta, destinasjonen i California er attraktiv og søkertallene gode, slik at vi fyller de plassene vi har. Denne avtalen er spesifikk til et av IFIs programmer, bachelorprogrammet i Informatikk: programmering og nettverk og et spesifikt semester (tredje semester), men noen andre IFI studenter har også brukt/ønsket å bruke den (annet program, annet semester).</w:t>
      </w:r>
      <w:r w:rsidR="00012C5F" w:rsidRPr="00012C5F">
        <w:t xml:space="preserve"> </w:t>
      </w:r>
      <w:r w:rsidR="00012C5F">
        <w:t xml:space="preserve"> </w:t>
      </w:r>
      <w:r w:rsidR="00C30633">
        <w:t>Et annet eksempel er CaNoRock STEP, et samarbeid mellom flere universitet i Norge og Canada, hvor arbeidet med å lage ferdige emnepakker er godt i gang.</w:t>
      </w:r>
    </w:p>
    <w:p w:rsidR="00B03B9C" w:rsidRDefault="00B03B9C" w:rsidP="00A3595D">
      <w:r>
        <w:t xml:space="preserve">Under tidligere arbeid med bachelorprogrammene har det vært jobbet med ideen om at det skal være </w:t>
      </w:r>
      <w:r w:rsidR="00C30633">
        <w:t>«</w:t>
      </w:r>
      <w:r>
        <w:t>plass</w:t>
      </w:r>
      <w:r w:rsidR="00C30633">
        <w:t>»</w:t>
      </w:r>
      <w:r>
        <w:t xml:space="preserve"> til utveksling i utdanningsplanen. Denne </w:t>
      </w:r>
      <w:r w:rsidR="00C30633">
        <w:t>«</w:t>
      </w:r>
      <w:r>
        <w:t>plassen</w:t>
      </w:r>
      <w:r w:rsidR="00C30633">
        <w:t>»</w:t>
      </w:r>
      <w:r>
        <w:t xml:space="preserve"> blir også kalt et </w:t>
      </w:r>
      <w:r w:rsidR="00C30633">
        <w:t>«</w:t>
      </w:r>
      <w:r>
        <w:t>utvekslingsvindu</w:t>
      </w:r>
      <w:r w:rsidR="00C30633">
        <w:t>»</w:t>
      </w:r>
      <w:r>
        <w:t xml:space="preserve"> (mobility</w:t>
      </w:r>
      <w:r w:rsidR="00927E6D">
        <w:t xml:space="preserve"> </w:t>
      </w:r>
      <w:r>
        <w:t xml:space="preserve">window). </w:t>
      </w:r>
      <w:r>
        <w:lastRenderedPageBreak/>
        <w:t>Instituttene har vært oppfordret til å vise hvor i studieløpet et slikt ‘utvekslingsvindu’ kan finnes og flere av programmene har anbefalt at 5. eller 6. semester er tiltenkt mulig utveksling. I 5. og 6. semester har mange stu</w:t>
      </w:r>
      <w:r w:rsidR="00927E6D">
        <w:t xml:space="preserve">denter valgfrie emner og kan derfor ta </w:t>
      </w:r>
      <w:r>
        <w:t>frie studiepoeng (ofte 40 sp totalt i studieløpet)</w:t>
      </w:r>
      <w:r w:rsidR="00927E6D">
        <w:t xml:space="preserve"> mens de er på utveksling</w:t>
      </w:r>
      <w:r>
        <w:t>.</w:t>
      </w:r>
      <w:r w:rsidR="00927E6D">
        <w:t xml:space="preserve"> Studentene blir også oppfordret til å ‘spare’ frie studiepoeng slik at de kan ta disse på utveksling og at godkjenningsarbeidet og dermed utvekslingen blir lettere hvis de kun har frie studiepoeng de planlegger å ta. Det er en utfordring hvilke signaler dette sender ut om verdien av utveksling (se 5.2)</w:t>
      </w:r>
    </w:p>
    <w:p w:rsidR="000475FB" w:rsidRDefault="00B00611" w:rsidP="001C09FF">
      <w:pPr>
        <w:pStyle w:val="Heading1"/>
        <w:numPr>
          <w:ilvl w:val="0"/>
          <w:numId w:val="6"/>
        </w:numPr>
      </w:pPr>
      <w:r>
        <w:t>Identifisering av muligheter for</w:t>
      </w:r>
      <w:r w:rsidR="006B17E1">
        <w:t xml:space="preserve"> økt aktivitet og videreutvikling</w:t>
      </w:r>
    </w:p>
    <w:p w:rsidR="005E3FCF" w:rsidRDefault="00B00611" w:rsidP="001C09FF">
      <w:r>
        <w:t xml:space="preserve">Det største potensialet for å øke antallet studenter som reiser på utveksling ser ut til å være å forenkle problemene </w:t>
      </w:r>
      <w:r w:rsidR="00722EC8">
        <w:t xml:space="preserve">assosiert </w:t>
      </w:r>
      <w:r>
        <w:t xml:space="preserve">med godkjenning, se 6. Utfordringer. </w:t>
      </w:r>
      <w:r w:rsidR="005E3FCF">
        <w:t>Fakult</w:t>
      </w:r>
      <w:r>
        <w:t>etet og ins</w:t>
      </w:r>
      <w:r w:rsidR="005E3FCF">
        <w:t>t</w:t>
      </w:r>
      <w:r>
        <w:t>ituttene har 119 egne utvekslingsavtaler og tilgang på nesten al</w:t>
      </w:r>
      <w:r w:rsidR="005E3FCF">
        <w:t xml:space="preserve">le av UiO sentralt sine 93 avtaler, og vi har ubrukte plasser på avtaler til engelskspråklige institusjoner som er internasjonalt </w:t>
      </w:r>
      <w:r w:rsidR="00A2375F">
        <w:t>velrennomerte</w:t>
      </w:r>
      <w:r w:rsidR="005E3FCF">
        <w:t>, det er derfor ikke mengden eller kvaliteten på avtalene som forhindrer utveksling. Det er ikke grunn til å tro at andre avtaler nødvendigvis vil fungere bedre hvis ikke andr</w:t>
      </w:r>
      <w:r w:rsidR="006F3732">
        <w:t>e hindre og utfordringer takles, se 4. Identifisering av hindre.</w:t>
      </w:r>
    </w:p>
    <w:p w:rsidR="006B17E1" w:rsidRDefault="005E3FCF" w:rsidP="005E3FCF">
      <w:r>
        <w:t>Det betyr ikke at videreutvikling av eksisterende avtaler og samarbeid ikke kan</w:t>
      </w:r>
      <w:r w:rsidR="00722EC8">
        <w:t xml:space="preserve"> og bør</w:t>
      </w:r>
      <w:r>
        <w:t xml:space="preserve"> utnyttes bedre, men dette må settes sammen med endringer i administrasjon og holdninger blant ansatte. Det er derfor spesielt viktig at</w:t>
      </w:r>
      <w:r w:rsidR="00B00611">
        <w:t xml:space="preserve"> vitenskap</w:t>
      </w:r>
      <w:r>
        <w:t>e</w:t>
      </w:r>
      <w:r w:rsidR="00B00611">
        <w:t xml:space="preserve">lige </w:t>
      </w:r>
      <w:r>
        <w:t>ansatte trekkes inn i arbeidet med utvikling av avtaler og arbeid med emnevalg. Studentene rapporterer om veldig varierende respons fra vitenskapelige på spørsmål om utvek</w:t>
      </w:r>
      <w:r w:rsidR="00722EC8">
        <w:t>s</w:t>
      </w:r>
      <w:r>
        <w:t>ling og, med noen unntak, at vitenskapelige er usikre på hva de skal svare og hvem de skal henvise</w:t>
      </w:r>
      <w:r w:rsidR="00722EC8">
        <w:t xml:space="preserve"> til. Det er noen ansatte som har</w:t>
      </w:r>
      <w:r>
        <w:t xml:space="preserve"> ut</w:t>
      </w:r>
      <w:r w:rsidR="00722EC8">
        <w:t>t</w:t>
      </w:r>
      <w:r>
        <w:t>rykt negative</w:t>
      </w:r>
      <w:r w:rsidR="00722EC8">
        <w:t xml:space="preserve"> holdninger</w:t>
      </w:r>
      <w:r>
        <w:t xml:space="preserve"> til utveksling når de snakker med studenter, selv om de, muligens, ikke frem</w:t>
      </w:r>
      <w:r w:rsidR="00722EC8">
        <w:t>stiller det slik til kollegaer. Evalueringen av Kvalitetsreformen setter søkelyset på at få faglige ansatte ser på utvekslingsavtaler som v</w:t>
      </w:r>
      <w:r w:rsidR="00E91742">
        <w:t>i</w:t>
      </w:r>
      <w:r w:rsidR="00722EC8">
        <w:t xml:space="preserve">ktige og forskere ser på sine internasjonale aktiviteter som del av den faglige utviklinga, ikke som del av en strategi for internasjonalisering (side 54 </w:t>
      </w:r>
      <w:hyperlink r:id="rId20" w:history="1">
        <w:r w:rsidR="00722EC8" w:rsidRPr="00C912E5">
          <w:rPr>
            <w:rStyle w:val="Hyperlink"/>
          </w:rPr>
          <w:t>http://www.nifu.no/files/2013/04/Evaluering-av-Kvalitetsreformen-Sluttrapport.pdf</w:t>
        </w:r>
      </w:hyperlink>
      <w:r w:rsidR="00722EC8">
        <w:t xml:space="preserve">) </w:t>
      </w:r>
    </w:p>
    <w:p w:rsidR="00E554DC" w:rsidRDefault="00E554DC" w:rsidP="005E3FCF">
      <w:r>
        <w:t>En av studentene i arbeidsgruppa, Kristian Bjørke, har skrevet et eget notat om hvordan studentenes motivasjon bør påvirke videre arbeid med avtaler, og han identifiserer det som spesielt viktig at de vitenskapelige ansatte må hjelpe studentene å i</w:t>
      </w:r>
      <w:r w:rsidR="00722EC8">
        <w:t>dentifisere fordelene med utve</w:t>
      </w:r>
      <w:r>
        <w:t>k</w:t>
      </w:r>
      <w:r w:rsidR="00722EC8">
        <w:t>s</w:t>
      </w:r>
      <w:r>
        <w:t xml:space="preserve">ling gjennom fokus på utvidet læringsutbytte, faglig nettverk og spesifikke fagfelt. </w:t>
      </w:r>
      <w:r w:rsidR="00E91742" w:rsidRPr="00E91742">
        <w:t>Se appendiks</w:t>
      </w:r>
      <w:r w:rsidRPr="00E91742">
        <w:t xml:space="preserve"> </w:t>
      </w:r>
      <w:r w:rsidR="00E91742" w:rsidRPr="00E91742">
        <w:t>2</w:t>
      </w:r>
      <w:r w:rsidRPr="00E91742">
        <w:t>.</w:t>
      </w:r>
    </w:p>
    <w:p w:rsidR="008552E9" w:rsidRDefault="008552E9" w:rsidP="005E3FCF">
      <w:r>
        <w:t>Studentene henter i stor grad sin informasjon fra UiOs nettsider og disse er under utvikling. Sidene har informasjon for studenter som allerede vet at de vil utforske mulighetene for utvek</w:t>
      </w:r>
      <w:r w:rsidR="00722EC8">
        <w:t>s</w:t>
      </w:r>
      <w:r>
        <w:t xml:space="preserve">ling, og vi jobber med å forbedre </w:t>
      </w:r>
      <w:r w:rsidR="00A2375F">
        <w:t>denne informasjonen</w:t>
      </w:r>
      <w:r>
        <w:t>, men vi ønsker også å fokusere noe mer på å oppmuntre de som ikke allerede har bestemt seg. To av de ansatte i ‘internasjonaliseringsgruppa’ ved fakultetet, Anne Aaen-Stockdale og Ellen Grøholt, skal</w:t>
      </w:r>
      <w:r w:rsidR="00FF1B17">
        <w:t xml:space="preserve"> fra 2014</w:t>
      </w:r>
      <w:r>
        <w:t xml:space="preserve"> delta i Forvei</w:t>
      </w:r>
      <w:r w:rsidR="00FF1B17">
        <w:t>s</w:t>
      </w:r>
      <w:r>
        <w:t xml:space="preserve"> ‘programseminarer’ i september. Dette er aktiviteter over to dager med en overnatting for hvert av studieprogrammene på bachelornivå for å hjelpe studentene i gang</w:t>
      </w:r>
      <w:r w:rsidR="00722EC8">
        <w:t xml:space="preserve"> med studiene. D</w:t>
      </w:r>
      <w:r>
        <w:t>et</w:t>
      </w:r>
      <w:r w:rsidR="00722EC8">
        <w:t xml:space="preserve"> skal</w:t>
      </w:r>
      <w:r>
        <w:t xml:space="preserve"> jobbes med læringsmiljø, personlig utvikling, forventningsavklaring og mye annet, sammen med vitenskapelige og administrativt ansatte fra de relevante instituttene. </w:t>
      </w:r>
      <w:r w:rsidR="00A2375F">
        <w:t>Denne involveringen</w:t>
      </w:r>
      <w:r>
        <w:t xml:space="preserve"> i studiestart og mottak av studenter vil bidra til å øke bevisstheten ru</w:t>
      </w:r>
      <w:r w:rsidR="00FF1B17">
        <w:t xml:space="preserve">ndt utvekslingsmulighetene, og å senke terskelen for å oppsøke mer detaljert informasjon senere i studieløpet. Dette er </w:t>
      </w:r>
      <w:r w:rsidR="00A2375F">
        <w:t>en</w:t>
      </w:r>
      <w:r w:rsidR="00FF1B17">
        <w:t xml:space="preserve"> ressurskrevende involvering, men en som kan gi gode resultater i det lange løp.</w:t>
      </w:r>
    </w:p>
    <w:p w:rsidR="00011A7A" w:rsidRPr="006659F1" w:rsidRDefault="006659F1" w:rsidP="005E3FCF">
      <w:r>
        <w:t xml:space="preserve">Fakultetet deltar </w:t>
      </w:r>
      <w:r w:rsidR="00110D0B">
        <w:t xml:space="preserve">også </w:t>
      </w:r>
      <w:r>
        <w:t xml:space="preserve">i en søknad om midler gjennom Erasmus+ Key Action 2 Strategiske partnerskap for et prosjekt som skal arbeide med studentutveksling. </w:t>
      </w:r>
      <w:r w:rsidRPr="006659F1">
        <w:t>RIO (Rethining International Offices) er et samarbeid mellom UiO, Hamburg University (Tyskland), University of Southhampton</w:t>
      </w:r>
      <w:r>
        <w:t xml:space="preserve"> (Storbritannia) og Charles University (Tsjekkia). Det er ledet av Hamburg University og håper å se de administrative rutinene og støtteordningene </w:t>
      </w:r>
      <w:r>
        <w:lastRenderedPageBreak/>
        <w:t xml:space="preserve">rundt utveksling og inneholder mange av de elementene vi arbeider med på fakultetet. Ved UiO er det Guri Vestad i Avdeling for fagstøtte som har </w:t>
      </w:r>
      <w:r w:rsidR="008C1B3E">
        <w:t>hatt ansvaret for koordineringen av søknaden og MN og SV er deltagende fakulteter.</w:t>
      </w:r>
    </w:p>
    <w:p w:rsidR="00B00611" w:rsidRPr="001C09FF" w:rsidRDefault="00B00611" w:rsidP="00B00611">
      <w:pPr>
        <w:pStyle w:val="Heading1"/>
        <w:numPr>
          <w:ilvl w:val="0"/>
          <w:numId w:val="6"/>
        </w:numPr>
      </w:pPr>
      <w:r>
        <w:t>Identifisering av hindre</w:t>
      </w:r>
    </w:p>
    <w:p w:rsidR="00FC320F" w:rsidRDefault="005E3FCF" w:rsidP="00B00611">
      <w:pPr>
        <w:pStyle w:val="Heading2"/>
        <w:numPr>
          <w:ilvl w:val="1"/>
          <w:numId w:val="6"/>
        </w:numPr>
      </w:pPr>
      <w:r>
        <w:t xml:space="preserve"> </w:t>
      </w:r>
      <w:r w:rsidR="006E0D47">
        <w:t>Hvilke hindre kan identifiseres for realfagsstudenter?</w:t>
      </w:r>
    </w:p>
    <w:p w:rsidR="00583F98" w:rsidRDefault="00432969" w:rsidP="00A3595D">
      <w:r w:rsidRPr="00432969">
        <w:t>Senter for</w:t>
      </w:r>
      <w:r>
        <w:t xml:space="preserve"> internasjonalisering av høyre utdanning (SIU) utarbeider rapporter om studentmobilitet i Norge, siste rapport fra 2013, se (LENKE). I 2010 gjorde SIU en mobilitetsanalyse ‘Hvorfor studere i utlandet?’, se </w:t>
      </w:r>
      <w:r w:rsidRPr="00E91742">
        <w:t>(</w:t>
      </w:r>
      <w:hyperlink r:id="rId21" w:history="1">
        <w:r w:rsidR="00E91742" w:rsidRPr="00C912E5">
          <w:rPr>
            <w:rStyle w:val="Hyperlink"/>
          </w:rPr>
          <w:t>http://www.siu.no/nor/Globalmeny/Publikasjoner/Alle-publikasjoner/Mobilitetsanalysen-2010-Hvorfor-studere-i-utlandet-Norske-studenters-motivasjoner-og-barrierer-for-aa-ta-et-studieopphold-i-et-annet-land-en-kvantitativ-analyse</w:t>
        </w:r>
      </w:hyperlink>
      <w:r w:rsidRPr="00E91742">
        <w:t>)</w:t>
      </w:r>
      <w:r w:rsidR="00F73248" w:rsidRPr="00E91742">
        <w:t>,</w:t>
      </w:r>
      <w:r w:rsidRPr="00E91742">
        <w:t xml:space="preserve"> </w:t>
      </w:r>
      <w:r>
        <w:t>som identifiserer hindre for studenter både på forskjellige nivåer og fagområder. Gjennomsnittlig har 31,6 % av re</w:t>
      </w:r>
      <w:r w:rsidR="00F73248">
        <w:t>spondentene svart at de har hat</w:t>
      </w:r>
      <w:r>
        <w:t>t et utenlandsopphold i løpet av bachelor- eller mastergraden sin. Men for studenter innenfor naturvitenskaplige fag, håndverksfag og teknologi er det kun 23,8%. Det er de engelskspråklige landene som er høyest representert, og ‘Naturf</w:t>
      </w:r>
      <w:r w:rsidR="00F73248">
        <w:t>agsstudentene er spesielt overr</w:t>
      </w:r>
      <w:r>
        <w:t xml:space="preserve">epresentert i USA og Australia’ (side 11). De som </w:t>
      </w:r>
      <w:r w:rsidR="00583F98">
        <w:t>valgte å ikke ta et studieopphold i utlandet hadde ‘trives godt faglig og sosialt der jeg er nå’ og ‘av hensyn til familie/kjæreste’ som hovedgrunner (44,2% og 47,5%), men også ‘for dårlig informasjon’ og ‘redd for forsinkelser i studiene hjemme’ (25,1% og 12,8%). Studentene innen naturvitenskaplige fag, håndverksfag og teknologi er satt sammen i en ‘faggruppe’</w:t>
      </w:r>
      <w:r w:rsidR="00F73248">
        <w:t xml:space="preserve"> og de</w:t>
      </w:r>
      <w:r w:rsidR="00583F98">
        <w:t xml:space="preserve"> er</w:t>
      </w:r>
      <w:r w:rsidR="00F73248">
        <w:t xml:space="preserve"> overre</w:t>
      </w:r>
      <w:r w:rsidR="00583F98">
        <w:t>presentert i de overnevnte kategoriene, u</w:t>
      </w:r>
      <w:r w:rsidR="00F73248">
        <w:t>n</w:t>
      </w:r>
      <w:r w:rsidR="00583F98">
        <w:t>ntatt ‘av hensyn til familie/kjæreste’.</w:t>
      </w:r>
      <w:r w:rsidR="00F73248">
        <w:t xml:space="preserve"> Nasjonalt sett ‘synes ikke godkjenning og innpassing til å være et stort problem (…) at utenlands</w:t>
      </w:r>
      <w:r w:rsidR="0061654D">
        <w:t xml:space="preserve">oppholdet </w:t>
      </w:r>
      <w:r w:rsidR="00F73248">
        <w:t>i liten grad synes å ha forlenget studentenes studieprogresjon (…) understøtter inntrykket av at innpassing og godkjenning ikke er et utbredt problem’ (side 24).</w:t>
      </w:r>
    </w:p>
    <w:p w:rsidR="00F73248" w:rsidRDefault="00F73248" w:rsidP="00A3595D">
      <w:r>
        <w:t>Dette er i kontrast til vårt fakultet der problemer med godkjenning anses som hovedutfordringen, og som studentene selv, gjennom MNSU, og administrativt ansatte på instituttene og ved internasjonaliseringsgruppa på fakultetet jevnlig rapporterer som problematisk.</w:t>
      </w:r>
      <w:r w:rsidR="0061654D">
        <w:t xml:space="preserve"> MNSU har formidlet til fakultetet gjennom sine møter at historier om dårlig håndterte godkjenningssaker og forvirrende akademisk veiledning verserer blant studentene og gjør rekruttering vanskelig.</w:t>
      </w:r>
    </w:p>
    <w:p w:rsidR="006E0D47" w:rsidRDefault="006E0D47" w:rsidP="00A3595D">
      <w:pPr>
        <w:rPr>
          <w:i/>
        </w:rPr>
      </w:pPr>
    </w:p>
    <w:p w:rsidR="006E0D47" w:rsidRDefault="006E0D47" w:rsidP="006E0D47">
      <w:pPr>
        <w:pStyle w:val="Heading2"/>
        <w:numPr>
          <w:ilvl w:val="1"/>
          <w:numId w:val="6"/>
        </w:numPr>
      </w:pPr>
      <w:r>
        <w:t xml:space="preserve"> Hvor finner studentene sin informasjon?</w:t>
      </w:r>
    </w:p>
    <w:p w:rsidR="00E91742" w:rsidRDefault="006E0D47" w:rsidP="006E0D47">
      <w:r>
        <w:t xml:space="preserve">Studentene finner i hovedsak sin informasjon på universitetets- og fakultetets nettsider. </w:t>
      </w:r>
      <w:r w:rsidR="00A2375F">
        <w:t>Fakultetets</w:t>
      </w:r>
      <w:r>
        <w:t xml:space="preserve"> nettsider er for øyeblikket under </w:t>
      </w:r>
      <w:r w:rsidR="00786081">
        <w:t>utarbeidelse og skal oppdateres til å ligne mer på SV fakultetets sider, da de har hatt mye positive tilbakemelding på sine omlagte sider. Det finnes også informasjon om ‘Opphold i utlandet’ på alle programsider, men denne informasjonen er veldig varierende</w:t>
      </w:r>
      <w:r w:rsidR="00E91742">
        <w:t>. Se appendiks 3 og 4 for eksempler.</w:t>
      </w:r>
    </w:p>
    <w:p w:rsidR="00786081" w:rsidRDefault="00E91742" w:rsidP="006E0D47">
      <w:r>
        <w:t xml:space="preserve"> </w:t>
      </w:r>
      <w:r w:rsidR="00786081">
        <w:t>I tillegg arrangeres det en årlig utvekslingsmesse på UiO sentralt, internasjonaliseringsgruppa på fakultetet arrangerer et generelt informasjonsmøte hvert semester, og noen av instituttene har egne møter. Dette er aktiviteter som kan samordnes bedre og det er mulig at mer fagrettede informasjonsmøter er mer effektive enn ett generelt informasjonsmøte. SIU analysen viser at studentene rapporterer at de ‘i liten grad’ (36,2%) og ‘i noen grad’ (37,3%) ble oppfordret av lærer/veiledere til å reise ut, og at det derfor er mye som kan gjøres hvis økt kunnskap og forståelse blant vitenskapelige ansatte kan føre til mer oppfordring fra disse.</w:t>
      </w:r>
    </w:p>
    <w:p w:rsidR="00E91742" w:rsidRPr="006E0D47" w:rsidRDefault="00E91742" w:rsidP="006E0D47">
      <w:r>
        <w:t xml:space="preserve">Studentene snakker også med hverandre og deling av informasjon skjer gjennom ‘word-of-mouth’. </w:t>
      </w:r>
      <w:r w:rsidR="00C30633">
        <w:t xml:space="preserve">Vi har fått tilbakemelding fra MNSU og Studentparlamentet at det finnes historier som at utveksling på MN er vanskelig og at det er "umulig" å få faglig godkjenning. Det er vanskelig å verifisere slike saker, og også vanskelig å argumentere mot slik "kritikk", men det oppfattes som allmennkjent at fakultetet er problematisk på dette. </w:t>
      </w:r>
      <w:r w:rsidR="00C30633">
        <w:lastRenderedPageBreak/>
        <w:t>Selv om vi ikke kan fjerne negative opplevelser er det også viktig at kulturen for "framsnakking" av fakultetet og de verdiene vi står for som er en del av InterAct strategien også er viktig når det gjelder studentmobilitet og internasjonalisering.</w:t>
      </w:r>
    </w:p>
    <w:p w:rsidR="000475FB" w:rsidRDefault="000475FB" w:rsidP="001C09FF">
      <w:pPr>
        <w:pStyle w:val="Heading1"/>
        <w:numPr>
          <w:ilvl w:val="0"/>
          <w:numId w:val="6"/>
        </w:numPr>
      </w:pPr>
      <w:r w:rsidRPr="000475FB">
        <w:t>Internasjonalisering hjemme</w:t>
      </w:r>
    </w:p>
    <w:p w:rsidR="00A66E34" w:rsidRDefault="00A66E34" w:rsidP="00A3595D">
      <w:r>
        <w:t>Internasjonalisering skjer også gjennom de studentene med internasjonal bakgrunn som tar hele grader ved UiO. Dette inkluderer hele bachelorgrader (</w:t>
      </w:r>
      <w:r w:rsidRPr="00D14AF1">
        <w:t xml:space="preserve">SFB studenter </w:t>
      </w:r>
      <w:r>
        <w:t xml:space="preserve">og </w:t>
      </w:r>
      <w:r w:rsidRPr="00D14AF1">
        <w:t>bachelor studenter med internasjonal bakgrunn som oppfyller krav til norsk</w:t>
      </w:r>
      <w:r>
        <w:t>), mastergrader (SFM, kvote, SFEU, nordiske og norske studenter som har hele bachelorgrad</w:t>
      </w:r>
      <w:r w:rsidR="00B82F55">
        <w:t>en</w:t>
      </w:r>
      <w:r>
        <w:t xml:space="preserve"> fra utenfor Norge), PhD stipendiater (med bachelor- og/eller mastergrad fra utenfor Norge) og vitenskapelige ansatte med internasjonal utdanningen eller arbeidserfaring. </w:t>
      </w:r>
      <w:r w:rsidR="00A2375F">
        <w:t xml:space="preserve">Disse gruppene bidrar til internasjonaliseringen for alle studenter og ansatte ved fakultetet.  </w:t>
      </w:r>
      <w:r w:rsidR="00B00611">
        <w:t>Se</w:t>
      </w:r>
      <w:r w:rsidR="00E91742">
        <w:t xml:space="preserve"> appendiks 1</w:t>
      </w:r>
      <w:r w:rsidR="00B00611" w:rsidRPr="00B00611">
        <w:rPr>
          <w:color w:val="FF0000"/>
        </w:rPr>
        <w:t xml:space="preserve"> </w:t>
      </w:r>
      <w:r w:rsidR="00B00611">
        <w:t>for forklaring av studentkategoriene.</w:t>
      </w:r>
    </w:p>
    <w:p w:rsidR="007B3618" w:rsidRDefault="007B3618" w:rsidP="00A3595D">
      <w:r>
        <w:t xml:space="preserve">Internasjonalisering hjemme er betegnelsen som brukes for den internasjonale erfaringen studenter kan få uten å reise fra hjemmeuniversitetet. </w:t>
      </w:r>
      <w:r w:rsidR="00A2375F">
        <w:t xml:space="preserve">Dette kan skje ved å internasjonalisere pensum gjennom å bevisst inkludere en internasjonal dimensjon i relevante emner, mens også å bruke internasjonale studenter og ansatte til å gi et internasjonalt læringsmiljø. </w:t>
      </w:r>
      <w:r w:rsidR="00C30633">
        <w:t xml:space="preserve">Det finnes også universiteter i utlandet som bruker fjernundervisning fra internasjonale partnere eller MOOCs (Massive Open Online Courses) for å gi sine studenter en internasjonal erfaring på "campus". </w:t>
      </w:r>
      <w:r w:rsidR="008C1B3E">
        <w:t>Fakultetet har i mange år hatt en stor del av sine emner undervist på engelsk, inkluderte nesten alle på masternivå. Dette bidrar til å gjøre studentene kjent med faguttrykk på engelsk, noe som er viktig både for arbeidsliv og for videre studier da forskningsmateriale og vitenskapelige journaler i hovedsak skrives på engelsk.</w:t>
      </w:r>
    </w:p>
    <w:p w:rsidR="006A1819" w:rsidRDefault="006A1819" w:rsidP="00A3595D">
      <w:r>
        <w:t>Internasjonalisering hjemme er viktig fordi det gir alle studentene muligheten til å utvikle sin kulturelle forståelse, uavhengig av personlige omstendigheter, og fordi det øker</w:t>
      </w:r>
      <w:r w:rsidR="00E52244">
        <w:t xml:space="preserve"> den</w:t>
      </w:r>
      <w:r>
        <w:t xml:space="preserve"> profesjonelle kompetansen til studentene. </w:t>
      </w:r>
    </w:p>
    <w:p w:rsidR="006A1819" w:rsidRDefault="006A1819" w:rsidP="00A3595D">
      <w:r>
        <w:t>Ressursene som internasjonale studenter besitter blir ikke ben</w:t>
      </w:r>
      <w:r w:rsidR="00E52244">
        <w:t>yttet</w:t>
      </w:r>
      <w:r w:rsidR="003B7422">
        <w:t>, og ingen av instituttene har</w:t>
      </w:r>
      <w:r w:rsidR="00110D0B">
        <w:t xml:space="preserve"> formaliserte</w:t>
      </w:r>
      <w:r w:rsidR="003B7422">
        <w:t xml:space="preserve"> opplegg som drar nytte av disse.</w:t>
      </w:r>
      <w:r w:rsidR="00E52244">
        <w:t xml:space="preserve"> For å ansette vitenskapelige ansatte anses internasjonal erfaring som en positiv kvalitet, men vi utnytter ikke tilstrekkelig disse erfaringene. Mange av våre PhD kandidater har utdanning fra utenfor Norge og også disse blir lite brukt</w:t>
      </w:r>
      <w:r w:rsidR="00B00611">
        <w:t>, spesielt hvis mangel på norskkunnskaper forhindrer at de deltar i undervisning</w:t>
      </w:r>
      <w:r w:rsidR="00E52244">
        <w:t>. Ingen av instituttene har opplegg som benytter den internasjonale erfaringen til studenter og ansatte systematisk.</w:t>
      </w:r>
    </w:p>
    <w:p w:rsidR="00021308" w:rsidRDefault="00021308" w:rsidP="00A3595D">
      <w:r>
        <w:t>I DBH rapporteringen defineres en utenlands</w:t>
      </w:r>
      <w:r w:rsidR="00110D0B">
        <w:t xml:space="preserve">k </w:t>
      </w:r>
      <w:r>
        <w:t>student som en med utenlandsk statsborgerskap, men dette indikerer ikk</w:t>
      </w:r>
      <w:r w:rsidR="00110D0B">
        <w:t>e om studenten allerede oppholder</w:t>
      </w:r>
      <w:r>
        <w:t xml:space="preserve"> seg i Norge. Utvekslingsstudenter er også inkludert i denne statistikken. Det er Europa og Asia som representerer de største gruppene, men det er også trolig at flere av disse allerede bodde i Norge og søkte som lokal studenter.</w:t>
      </w:r>
    </w:p>
    <w:p w:rsidR="00701193" w:rsidRDefault="00701193" w:rsidP="0066403A">
      <w:pPr>
        <w:pStyle w:val="Heading3"/>
      </w:pPr>
    </w:p>
    <w:p w:rsidR="00701193" w:rsidRDefault="00701193" w:rsidP="0066403A">
      <w:pPr>
        <w:pStyle w:val="Heading3"/>
      </w:pPr>
    </w:p>
    <w:p w:rsidR="00701193" w:rsidRDefault="00701193" w:rsidP="0066403A">
      <w:pPr>
        <w:pStyle w:val="Heading3"/>
      </w:pPr>
    </w:p>
    <w:p w:rsidR="00701193" w:rsidRDefault="00701193" w:rsidP="0066403A">
      <w:pPr>
        <w:pStyle w:val="Heading3"/>
      </w:pPr>
    </w:p>
    <w:p w:rsidR="00701193" w:rsidRDefault="00701193" w:rsidP="0066403A">
      <w:pPr>
        <w:pStyle w:val="Heading3"/>
      </w:pPr>
    </w:p>
    <w:p w:rsidR="00701193" w:rsidRDefault="00701193" w:rsidP="0066403A">
      <w:pPr>
        <w:pStyle w:val="Heading3"/>
      </w:pPr>
    </w:p>
    <w:p w:rsidR="0066403A" w:rsidRDefault="00735B38" w:rsidP="0066403A">
      <w:pPr>
        <w:pStyle w:val="Heading3"/>
      </w:pPr>
      <w:r>
        <w:t>Tabell7</w:t>
      </w:r>
      <w:r w:rsidR="009F13BD">
        <w:t xml:space="preserve"> - </w:t>
      </w:r>
      <w:r w:rsidR="0066403A">
        <w:t>Utenlandske studenter, alle, per verdensdel</w:t>
      </w:r>
      <w:r w:rsidR="007B1CD1">
        <w:t xml:space="preserve"> (tall fra DBH)</w:t>
      </w:r>
    </w:p>
    <w:p w:rsidR="007B1CD1" w:rsidRPr="007B1CD1" w:rsidRDefault="007B1CD1" w:rsidP="007B1CD1">
      <w:r>
        <w:rPr>
          <w:noProof/>
        </w:rPr>
        <w:drawing>
          <wp:inline distT="0" distB="0" distL="0" distR="0" wp14:anchorId="6BDAE82A" wp14:editId="48098F30">
            <wp:extent cx="3600450" cy="245745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6403A" w:rsidRDefault="0066403A" w:rsidP="00A3595D">
      <w:r>
        <w:t xml:space="preserve">Det er også mange studenter som tar hele bachelorgrader som derfor indikerer at de </w:t>
      </w:r>
      <w:r w:rsidR="00675BC6">
        <w:t xml:space="preserve">kan være født i Norge eller </w:t>
      </w:r>
      <w:r>
        <w:t>har bodd i Norge lenge nok til å oppfylle no</w:t>
      </w:r>
      <w:r w:rsidR="00675BC6">
        <w:t>rskkravet.</w:t>
      </w:r>
    </w:p>
    <w:p w:rsidR="007B1CD1" w:rsidRDefault="009F13BD" w:rsidP="00A3595D">
      <w:pPr>
        <w:rPr>
          <w:rStyle w:val="Heading3Char"/>
        </w:rPr>
      </w:pPr>
      <w:r>
        <w:rPr>
          <w:rStyle w:val="Heading3Char"/>
        </w:rPr>
        <w:t xml:space="preserve">Tabell </w:t>
      </w:r>
      <w:r w:rsidR="00735B38">
        <w:rPr>
          <w:rStyle w:val="Heading3Char"/>
        </w:rPr>
        <w:t>8</w:t>
      </w:r>
      <w:r>
        <w:rPr>
          <w:rStyle w:val="Heading3Char"/>
        </w:rPr>
        <w:t xml:space="preserve"> - </w:t>
      </w:r>
      <w:r w:rsidR="00675BC6" w:rsidRPr="00675BC6">
        <w:rPr>
          <w:rStyle w:val="Heading3Char"/>
        </w:rPr>
        <w:t>Utenlandske studenter, alle, på nivå</w:t>
      </w:r>
      <w:r w:rsidR="007B1CD1">
        <w:rPr>
          <w:rStyle w:val="Heading3Char"/>
        </w:rPr>
        <w:t xml:space="preserve"> (tall fra DBH)</w:t>
      </w:r>
    </w:p>
    <w:p w:rsidR="0066403A" w:rsidRDefault="007B1CD1" w:rsidP="00A3595D">
      <w:r>
        <w:rPr>
          <w:noProof/>
        </w:rPr>
        <w:drawing>
          <wp:inline distT="0" distB="0" distL="0" distR="0" wp14:anchorId="31C70EE9" wp14:editId="3C93DEC1">
            <wp:extent cx="3667125" cy="2447925"/>
            <wp:effectExtent l="0" t="0" r="9525"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84E97" w:rsidRDefault="00184E97" w:rsidP="00A3595D">
      <w:r>
        <w:t>Vi har ikke statistikk på norske ansatte som har internasjonal erfaring, men vi vet at mange av våre fremste forskere enten er kommer fra utenfor Norge, eller har betydelige opphold i utlandet, enten under studiene eller etterpå</w:t>
      </w:r>
      <w:r w:rsidR="00B67F37">
        <w:t>, inkludert dekan Morten Dæhlen og forskningsdekan Svein Stølen</w:t>
      </w:r>
      <w:r>
        <w:t>.</w:t>
      </w:r>
    </w:p>
    <w:p w:rsidR="00105895" w:rsidRDefault="003C13AA" w:rsidP="001C09FF">
      <w:pPr>
        <w:pStyle w:val="Heading1"/>
        <w:numPr>
          <w:ilvl w:val="0"/>
          <w:numId w:val="6"/>
        </w:numPr>
      </w:pPr>
      <w:r w:rsidRPr="003C13AA">
        <w:t xml:space="preserve">Utfordringer </w:t>
      </w:r>
    </w:p>
    <w:p w:rsidR="001C09FF" w:rsidRDefault="001C09FF" w:rsidP="00F649E2">
      <w:pPr>
        <w:pStyle w:val="Heading2"/>
        <w:numPr>
          <w:ilvl w:val="1"/>
          <w:numId w:val="6"/>
        </w:numPr>
      </w:pPr>
      <w:r w:rsidRPr="001C09FF">
        <w:t>Utfordringer med nåværende (forhånds-) godkjenning</w:t>
      </w:r>
    </w:p>
    <w:p w:rsidR="004867FF" w:rsidRPr="001C09FF" w:rsidRDefault="003C13AA" w:rsidP="00A3595D">
      <w:r w:rsidRPr="001C09FF">
        <w:t>Dagens godkjenningsprosedyre er at studentene søker om forhåndsgodkjenning av emner før avreise til partneruniversitetene. Dette foregår ved at studenter sender inn et søknadsskjema</w:t>
      </w:r>
      <w:r w:rsidR="004867FF" w:rsidRPr="001C09FF">
        <w:t>, med emnebeskrivelser,</w:t>
      </w:r>
      <w:r w:rsidRPr="001C09FF">
        <w:t xml:space="preserve"> hvor de spesifiserer hvilke emner de ønsker å ta ved partneruniversitetet og hvilke emner de ønsker å erstatte disse med ved UiO, evt. frie studiepoeng. Søknaden sendes til fakultetet som sender en anmodning i ePhorte til </w:t>
      </w:r>
      <w:r w:rsidRPr="001C09FF">
        <w:lastRenderedPageBreak/>
        <w:t xml:space="preserve">instituttet hvor fakultetet gir informasjon om studiepoengssystemet til partneruniversitetet. Instituttene er ansvarlige for å behandle søknaden, svare fakultetet, som deretter svarer studenten i et vedtaksbrev. Brevet studenten gis kan da brukes til å søke Lånekasse støtte for utvekslingsoppholdet. Det er i april 2014 innført et nytt rapporteringssystem for Lånekassa, slik at </w:t>
      </w:r>
      <w:r w:rsidR="004867FF" w:rsidRPr="001C09FF">
        <w:t>denne informasjonen overføres direkte fra FS modulen ‘Godkjenningssak Samlebilde’</w:t>
      </w:r>
      <w:r w:rsidR="00D750C7" w:rsidRPr="001C09FF">
        <w:t xml:space="preserve"> til Lånekassa.</w:t>
      </w:r>
      <w:r w:rsidR="004867FF" w:rsidRPr="001C09FF">
        <w:t xml:space="preserve"> </w:t>
      </w:r>
    </w:p>
    <w:p w:rsidR="00B67F37" w:rsidRDefault="004867FF" w:rsidP="00A3595D">
      <w:r>
        <w:t xml:space="preserve">Oppfattelsen for studentene er at det er vanskelig å få emner godkjente, prosessen er lang og komplisert og krever mange runder for å finne emner som kan brukes. Studentene føler at </w:t>
      </w:r>
      <w:r w:rsidR="00D750C7">
        <w:t xml:space="preserve">de </w:t>
      </w:r>
      <w:r>
        <w:t>er overlatt til seg selv for å finne emnene som kan erstatte UiO emner, og at selv om administrativt ansatte kan være behjelpelige er det</w:t>
      </w:r>
      <w:r w:rsidR="00E458D2">
        <w:t xml:space="preserve"> begrenset</w:t>
      </w:r>
      <w:r>
        <w:t xml:space="preserve"> faglig</w:t>
      </w:r>
      <w:r w:rsidR="006D4034">
        <w:t xml:space="preserve"> hjelp.</w:t>
      </w:r>
      <w:r w:rsidR="00B67F37">
        <w:t xml:space="preserve"> I tillegg til bekymringer rundt godkjenning av emner inn grad ved UiO er studentene også bekymret for hvordan erstattede emner vil bli akseptert som en del av opptaksgrunnlaget til videre studier ved UiO og andre steder, spesielt fra bachelor til master.</w:t>
      </w:r>
      <w:r w:rsidR="006D4034">
        <w:t xml:space="preserve"> </w:t>
      </w:r>
      <w:r w:rsidR="00B67F37">
        <w:t xml:space="preserve">Det oppfattes som om det er mye flisespikkeri rundt godkjenning, hvor overlapp mot emner ved UiO må være så stor og at pensum må være skrevet så likt at det </w:t>
      </w:r>
      <w:r w:rsidR="00924DD7">
        <w:t xml:space="preserve">er ‘nesten umulig’ å finne emner som gir fritak for obligatoriske emner ved UiO. Ved overlapp med andre emner en de som det søkes fritak for (fordi pensum kanskje deles opp på andre måter, eller fordi man trenger flere enn et emne ved </w:t>
      </w:r>
      <w:r w:rsidR="00A2375F">
        <w:t>partnerinstitusjonene</w:t>
      </w:r>
      <w:r w:rsidR="00924DD7">
        <w:t xml:space="preserve"> for å dekke sammen pensum eller </w:t>
      </w:r>
      <w:r w:rsidR="00A2375F">
        <w:t>studiepoengsverdi</w:t>
      </w:r>
      <w:r w:rsidR="00924DD7">
        <w:t>.) får studentene studiepoengsreduksjon for emne og ender opp med for lite progresjon, dette oppfattes som en ‘straff’ for utveksling.</w:t>
      </w:r>
    </w:p>
    <w:p w:rsidR="006D4034" w:rsidRDefault="006D4034" w:rsidP="00A3595D">
      <w:r>
        <w:t xml:space="preserve">Tilbakemeldingen fra de vitenskapelige ansatte i arbeidsgruppa er at det krever mye ressurser å vurdere emner, spesielt når dette gjøres enkeltvis for hvert emne og hver student. </w:t>
      </w:r>
      <w:r w:rsidR="00D750C7">
        <w:t>Noen</w:t>
      </w:r>
      <w:r>
        <w:t xml:space="preserve"> institutter har større mengder studenter til en partner og har der opparbeidet en liste over emner og deres UiO motstykke</w:t>
      </w:r>
      <w:r w:rsidR="00D750C7">
        <w:t xml:space="preserve"> (IFI med San Jose State University, MAT med National University of Singapore)</w:t>
      </w:r>
      <w:r>
        <w:t xml:space="preserve">, men i hovedsak må alle sakene gjøres individuelt. Det er prosjekter ved noen institutter å utarbeide ‘emnepakker’ hvor emner ved prioriterte partneruniversiteter og UiO er avklart i forkant. Dette er tidkrevende arbeid som vanligvis nedprioriteres over driftsoppgaver. </w:t>
      </w:r>
    </w:p>
    <w:p w:rsidR="003C13AA" w:rsidRDefault="006D4034" w:rsidP="00A3595D">
      <w:r>
        <w:t>Det er en utfordring at studenter ofte reiser til forskjellige steder der få eller ingen av instituttets studenter har reist tidligere. Dette forlenger prosessen for studentene og forsterker inntrykket at forhåndsgodkjenning er vanskelig.</w:t>
      </w:r>
    </w:p>
    <w:p w:rsidR="00D750C7" w:rsidRDefault="00D750C7" w:rsidP="00A3595D">
      <w:r>
        <w:t>Matematisk institutt har sin egen prosess på forhåndsgodkjenning hvor studiekonsulenten møter med studentene og avklarer emnene direkte med dem og deretter legger denne informasjonene inn i ePhorte.</w:t>
      </w:r>
    </w:p>
    <w:p w:rsidR="006D4034" w:rsidRDefault="006D4034" w:rsidP="00A3595D">
      <w:r>
        <w:t>Det er vanlig at studentene</w:t>
      </w:r>
      <w:r w:rsidR="001C3AD7">
        <w:t xml:space="preserve"> </w:t>
      </w:r>
      <w:r>
        <w:t xml:space="preserve">ender opp med å ta </w:t>
      </w:r>
      <w:r w:rsidR="001C3AD7">
        <w:t xml:space="preserve">et </w:t>
      </w:r>
      <w:r w:rsidR="00D750C7">
        <w:t>eller flere</w:t>
      </w:r>
      <w:r w:rsidR="001C3AD7">
        <w:t xml:space="preserve"> </w:t>
      </w:r>
      <w:r>
        <w:t xml:space="preserve">andre emner enn de som </w:t>
      </w:r>
      <w:r w:rsidR="001C3AD7">
        <w:t xml:space="preserve">ble </w:t>
      </w:r>
      <w:r>
        <w:t>forhåndsgodkjente</w:t>
      </w:r>
      <w:r w:rsidR="001C3AD7">
        <w:t>. D</w:t>
      </w:r>
      <w:r>
        <w:t>ette er ofte fordi</w:t>
      </w:r>
      <w:r w:rsidR="001C3AD7">
        <w:t xml:space="preserve"> studentene må velge emner på et tidspunkt hvor timetabellen ikke er satt/kjent </w:t>
      </w:r>
      <w:r w:rsidR="002B4640">
        <w:t xml:space="preserve">eller fordi de får tilleggsinformasjon som tilsier at emner ikke er aktuelt (avstand mellom forelesninger/campuser, undervisningsspråk, </w:t>
      </w:r>
      <w:r w:rsidR="00A2375F">
        <w:t>osv.</w:t>
      </w:r>
      <w:r w:rsidR="002B4640">
        <w:t xml:space="preserve">). Av den grunn oppfatter noen av instituttene at </w:t>
      </w:r>
      <w:r w:rsidR="00D750C7">
        <w:t>forhåndsgodkjenningsprosessen inneholder unødvendig arbeid, samtidig som studentene oppfatter holdningene til godkjenningen som usikker.</w:t>
      </w:r>
    </w:p>
    <w:p w:rsidR="00D750C7" w:rsidRDefault="00D750C7" w:rsidP="00A3595D">
      <w:r>
        <w:t xml:space="preserve">Når studentene er ferdig med utvekslingsoppholdet </w:t>
      </w:r>
      <w:r w:rsidR="00EC5985">
        <w:t xml:space="preserve">er det en prosess for registrering av de innpassede emnene. Ved UiO generelt, hvor mange av de andre fakultetene ikke krever eller ønsker arbeidet med forhåndsgodkjenning, kalles dette for endelig godkjenning. Ved MN har dette tidligere involvert en søknad til fakultetet, som sjekker om alle emnene ble forhåndsgodkjente, og hvis ikke ble en anmodning sent til instituttet. Vi har ønsket å forandre oppfattelsen av denne prosessen fordi tilbakemeldingene er at dette gir oppfattelsen av at vedtaket i forhåndsgodkjennelsen ikke er sikker. </w:t>
      </w:r>
      <w:r w:rsidR="00A2375F">
        <w:t xml:space="preserve">Vi gjør nå forskjell på ‘ettersending’ for de studentene som fikk forhåndsgodkjent, og ny søknad om ‘endelig godkjenning’ for studentene som ikke fikk forhåndsgodkjenning. </w:t>
      </w:r>
      <w:r w:rsidR="0033742C">
        <w:t>Denne presiseringen er spesielt rettet mot studenter før de reiser ut, slik at de skal bli beroliget, da studentene i mye mindre grad bekymrer seg for dette når de faktisk har vært på utvekslings og hatt en positiv erfaring og dermed ikke synes ‘uttellingen’ er like viktig.</w:t>
      </w:r>
    </w:p>
    <w:p w:rsidR="00B67F37" w:rsidRDefault="00B67F37" w:rsidP="00A3595D">
      <w:r>
        <w:lastRenderedPageBreak/>
        <w:t>Det er nødvendig med betydelig mer arbeid for å forbedre godkjenningsprosessen og det er uhyre viktig at godkjenning av utenlandsk utdanning og innpassing av dette inn i grad er en del av prosessen når bachelorprogrammene skal revideres. Spesielt viktig er det også å se dette i sammenheng med opptaksgrunnlagene for masterprogrammene.</w:t>
      </w:r>
    </w:p>
    <w:p w:rsidR="00701193" w:rsidRDefault="00701193" w:rsidP="00A3595D"/>
    <w:p w:rsidR="001C09FF" w:rsidRDefault="001C09FF" w:rsidP="00666893">
      <w:pPr>
        <w:pStyle w:val="Heading2"/>
        <w:ind w:firstLine="708"/>
      </w:pPr>
      <w:r>
        <w:t>5.2 Utfordringer med mobilitetsvindu</w:t>
      </w:r>
    </w:p>
    <w:p w:rsidR="00046882" w:rsidRDefault="00927E6D" w:rsidP="00A3595D">
      <w:r>
        <w:t>Studieprogram som har identifisert 5. eller 6. semester som mulig for utveksling gjør ofte det fordi studentene tar mange frie studiepoeng</w:t>
      </w:r>
      <w:r w:rsidR="00046882">
        <w:t>/</w:t>
      </w:r>
      <w:r w:rsidR="00A2375F">
        <w:t>valgfrie</w:t>
      </w:r>
      <w:r w:rsidR="00046882">
        <w:t xml:space="preserve"> emner</w:t>
      </w:r>
      <w:r>
        <w:t xml:space="preserve"> disse semestrene. Dette gir studentene muligheten til å ta emner innen sitt fagfelt som ikke tilbys ved UiO og som fokuserer på faglig spisskompetanse eller nasjonale/regionale særegenheter som partneruniversitetet tilbyr.  Studentene kan allikevel oppleve problemer med godkjenning hvis emnene de ønsker å ta inneholder temaer som allerede har vært delvis dekket </w:t>
      </w:r>
      <w:r w:rsidR="00046882">
        <w:t xml:space="preserve">av pensum </w:t>
      </w:r>
      <w:r>
        <w:t>ved UiO og de kan få studiepoengsreduk</w:t>
      </w:r>
      <w:r w:rsidR="00046882">
        <w:t>sjon for overlappet</w:t>
      </w:r>
      <w:r>
        <w:t>.</w:t>
      </w:r>
      <w:r w:rsidR="00046882">
        <w:t xml:space="preserve"> Dette er vanskeligere jo senere i bachelorløpet utvekslingen skjer, da mer pensum har vært dekket ved UiO og ‘faren’ for overlapp øker. Innen noen fagfelt er temaene som dekkes i en bachelorgrad mer </w:t>
      </w:r>
      <w:r w:rsidR="00A2375F">
        <w:t>homogent internasjonalt</w:t>
      </w:r>
      <w:r w:rsidR="00046882">
        <w:t xml:space="preserve">, men det er allikevel sannsynlig at oppdelingen av pensum varierer noen. Dermed blir det vanskelig å unngå noe overlapp. </w:t>
      </w:r>
    </w:p>
    <w:p w:rsidR="00927E6D" w:rsidRDefault="00046882" w:rsidP="00A3595D">
      <w:r>
        <w:t>Overlapp kan være like problematisk for de som ønsker å unngå overlapp for å unngå studiepoengsreduksjon og de som ønsker overlapp for å få fritak for emner gitt ved UiO. Holdningen til overlapp varierer veldig og oppfattes som veldig personavhengig.</w:t>
      </w:r>
    </w:p>
    <w:p w:rsidR="001C09FF" w:rsidRPr="006E0D47" w:rsidRDefault="00046882" w:rsidP="00A3595D">
      <w:r>
        <w:t>Dette resulterer i at studentene oppfatter det som tryggere å ta frie studiepoeng</w:t>
      </w:r>
      <w:r w:rsidR="00B00611">
        <w:t xml:space="preserve"> utenfor sitt fagfelt</w:t>
      </w:r>
      <w:r>
        <w:t xml:space="preserve"> mens de er på utveksling. Men h</w:t>
      </w:r>
      <w:r w:rsidR="001C09FF">
        <w:t xml:space="preserve">vilke signaler gir det at studentene </w:t>
      </w:r>
      <w:r>
        <w:t>ku</w:t>
      </w:r>
      <w:r w:rsidR="001C09FF">
        <w:t>n ta</w:t>
      </w:r>
      <w:r>
        <w:t>r</w:t>
      </w:r>
      <w:r w:rsidR="001C09FF">
        <w:t xml:space="preserve"> frie studiepoeng ute?</w:t>
      </w:r>
      <w:r>
        <w:t xml:space="preserve"> At utveksling er vel og bra, men at fagkompetansen får du kun ved MN? At </w:t>
      </w:r>
      <w:r w:rsidR="00742B6F">
        <w:t xml:space="preserve">utveksling kun har verdi for </w:t>
      </w:r>
      <w:r w:rsidR="00742B6F" w:rsidRPr="006E0D47">
        <w:t>det studentene tar ved siden av faget sitt, men ikke for videre faglig utvikling innen sitt fagfelt?</w:t>
      </w:r>
    </w:p>
    <w:p w:rsidR="00773F91" w:rsidRDefault="00110D0B" w:rsidP="006E0D47">
      <w:r>
        <w:t>Legges utve</w:t>
      </w:r>
      <w:r w:rsidR="00773F91">
        <w:t>k</w:t>
      </w:r>
      <w:r>
        <w:t>s</w:t>
      </w:r>
      <w:r w:rsidR="00773F91">
        <w:t>lingen i det siste semesteret er studentene bekymret for at dette skal vanskeliggjøre et eventuelt masteropptak ved at avslutningen av graden forsinkes. Dette kan hindre studenter i å velge utveksling, selv om dette ikke vanligvis oppleves som problematisk a</w:t>
      </w:r>
      <w:r w:rsidR="007E17D8">
        <w:t>v</w:t>
      </w:r>
      <w:r w:rsidR="00773F91">
        <w:t xml:space="preserve"> de som er ansvarlige for masteropptaket ved instituttene. Det kan imidlertid være problematisk for studenter som ønsker å søke masterstudier utenfor UiO og spesielt i utlandet.</w:t>
      </w:r>
    </w:p>
    <w:p w:rsidR="00773F91" w:rsidRPr="006E0D47" w:rsidRDefault="006E0D47" w:rsidP="006E0D47">
      <w:r w:rsidRPr="006E0D47">
        <w:t>Studentene i arbeidsgruppa rapporterte også at for at studentene skal oppmuntres til å gjøre utveksling som del av studier er det bedre om dette legges til 5. semester heller enn 6. semester fordi studenter tenker de vil gjøre seg ferdig og så reise etter end</w:t>
      </w:r>
      <w:r w:rsidR="00110D0B">
        <w:t>t studium</w:t>
      </w:r>
      <w:r w:rsidRPr="006E0D47">
        <w:t xml:space="preserve"> uten restriksjonene. Dette undervurderer verdien av akademisk </w:t>
      </w:r>
      <w:r w:rsidR="00110D0B">
        <w:t>utveksling i forhold til turist</w:t>
      </w:r>
      <w:r w:rsidRPr="006E0D47">
        <w:t>reise.</w:t>
      </w:r>
    </w:p>
    <w:p w:rsidR="000475FB" w:rsidRDefault="000475FB" w:rsidP="001C09FF">
      <w:pPr>
        <w:pStyle w:val="Heading1"/>
        <w:numPr>
          <w:ilvl w:val="0"/>
          <w:numId w:val="6"/>
        </w:numPr>
      </w:pPr>
      <w:r w:rsidRPr="00033CBD">
        <w:t xml:space="preserve">Forslag til mulig tiltak </w:t>
      </w:r>
    </w:p>
    <w:p w:rsidR="001C09FF" w:rsidRDefault="006E0D47" w:rsidP="001C09FF">
      <w:pPr>
        <w:pStyle w:val="Heading2"/>
        <w:numPr>
          <w:ilvl w:val="1"/>
          <w:numId w:val="6"/>
        </w:numPr>
      </w:pPr>
      <w:r>
        <w:t xml:space="preserve"> </w:t>
      </w:r>
      <w:r w:rsidR="001C09FF">
        <w:t>Konkrete, kortsiktige forslag</w:t>
      </w:r>
    </w:p>
    <w:p w:rsidR="000475FB" w:rsidRDefault="000475FB" w:rsidP="00A3595D">
      <w:r>
        <w:t>Konkrete forslag som kan gjennomføres uten videre utarbeidelse</w:t>
      </w:r>
      <w:r w:rsidR="00056488">
        <w:t>, men som vil kreve vilje til at dette prioriteres av fakultetet/instituttene.</w:t>
      </w:r>
    </w:p>
    <w:p w:rsidR="000475FB" w:rsidRDefault="000475FB" w:rsidP="00A3595D">
      <w:pPr>
        <w:pStyle w:val="ListParagraph"/>
        <w:numPr>
          <w:ilvl w:val="0"/>
          <w:numId w:val="9"/>
        </w:numPr>
      </w:pPr>
      <w:r>
        <w:t>Formidling</w:t>
      </w:r>
    </w:p>
    <w:p w:rsidR="000475FB" w:rsidRDefault="000475FB" w:rsidP="00A3595D">
      <w:pPr>
        <w:pStyle w:val="ListParagraph"/>
        <w:numPr>
          <w:ilvl w:val="1"/>
          <w:numId w:val="9"/>
        </w:numPr>
      </w:pPr>
      <w:r>
        <w:t>Nettsid</w:t>
      </w:r>
      <w:r w:rsidR="00056488">
        <w:t>er for studenter</w:t>
      </w:r>
      <w:r w:rsidR="00F96390">
        <w:t xml:space="preserve"> (dette arbeidet er allerede i gang)</w:t>
      </w:r>
    </w:p>
    <w:p w:rsidR="00056488" w:rsidRDefault="00056488" w:rsidP="00A3595D">
      <w:pPr>
        <w:pStyle w:val="ListParagraph"/>
        <w:numPr>
          <w:ilvl w:val="2"/>
          <w:numId w:val="9"/>
        </w:numPr>
      </w:pPr>
      <w:r>
        <w:t xml:space="preserve">Fakulteters nettside er under utarbeiding, hvor vi forsøker å gjøre sidere mer interessant og brukervennlige. </w:t>
      </w:r>
      <w:r w:rsidR="00A2375F">
        <w:t xml:space="preserve">Tilbakemeldingene er at nettsidene er inneholder for mye tekst uten å se interessante ut, og at det ikke er lett å orientere seg. </w:t>
      </w:r>
      <w:r>
        <w:t xml:space="preserve">Vi kommer </w:t>
      </w:r>
      <w:r>
        <w:lastRenderedPageBreak/>
        <w:t>til å bruke sidene til SV og HF som utgangspunkt for forandringen.</w:t>
      </w:r>
      <w:r w:rsidR="00E91742">
        <w:t xml:space="preserve"> Se appendiks 3 for</w:t>
      </w:r>
      <w:r>
        <w:t xml:space="preserve"> MNs nåværende sider, og HF og SVs sider.</w:t>
      </w:r>
    </w:p>
    <w:p w:rsidR="00056488" w:rsidRDefault="00056488" w:rsidP="00A3595D">
      <w:pPr>
        <w:pStyle w:val="ListParagraph"/>
        <w:numPr>
          <w:ilvl w:val="2"/>
          <w:numId w:val="9"/>
        </w:numPr>
      </w:pPr>
      <w:r>
        <w:t>I tillegg til den strukturelle forandring har vi også begynt å samle inn reisebrev som skal brukes på nettsidene. Dette er tekst og bilder fra studenter som har vært ute, men som er mindre omfattende enn bloggen.</w:t>
      </w:r>
    </w:p>
    <w:p w:rsidR="00BA315D" w:rsidRDefault="00BA315D" w:rsidP="00A3595D">
      <w:pPr>
        <w:pStyle w:val="ListParagraph"/>
        <w:numPr>
          <w:ilvl w:val="2"/>
          <w:numId w:val="9"/>
        </w:numPr>
      </w:pPr>
      <w:r>
        <w:t xml:space="preserve">Sidene fokuserer for mye på de mange alternativene og unntakene fra reglene mens de </w:t>
      </w:r>
      <w:r w:rsidR="00A2375F">
        <w:t>heller kunne</w:t>
      </w:r>
      <w:r>
        <w:t xml:space="preserve"> gi en grei ‘kjørerute’ som forklarer skrittene i en vanlig sak.</w:t>
      </w:r>
    </w:p>
    <w:p w:rsidR="000475FB" w:rsidRDefault="000475FB" w:rsidP="00A3595D">
      <w:pPr>
        <w:pStyle w:val="ListParagraph"/>
        <w:numPr>
          <w:ilvl w:val="1"/>
          <w:numId w:val="9"/>
        </w:numPr>
      </w:pPr>
      <w:r>
        <w:t>Avtalesider</w:t>
      </w:r>
    </w:p>
    <w:p w:rsidR="00056488" w:rsidRDefault="00924DD7" w:rsidP="00A3595D">
      <w:pPr>
        <w:pStyle w:val="ListParagraph"/>
        <w:numPr>
          <w:ilvl w:val="2"/>
          <w:numId w:val="9"/>
        </w:numPr>
      </w:pPr>
      <w:r>
        <w:t>Forbedring på avtalesidene</w:t>
      </w:r>
      <w:r w:rsidR="00BA315D">
        <w:t xml:space="preserve"> (som vedlikeholdes av avtaleeierene)</w:t>
      </w:r>
      <w:r>
        <w:t xml:space="preserve"> inkluderer arbeid for å øke kvaliteten på innholdet på sidene, men også bedre informasjon om hvordan akkurat den avtalen kan brukes, eller har vært brukt. Det er et krav om at det finnes en side per avtale, fordi det finnes en potensiell mulighet for utreisende utveksling, men det hadde vært en fordel om det ble inkludert informasjon om avtalen er blitt brukt, og en bedre oversikt over hva som regnes som ‘gode’ avtaler for hvilke programstudenter</w:t>
      </w:r>
      <w:r w:rsidR="00057BA8">
        <w:t>.</w:t>
      </w:r>
    </w:p>
    <w:p w:rsidR="00924DD7" w:rsidRDefault="00056488" w:rsidP="00E91742">
      <w:pPr>
        <w:pStyle w:val="ListParagraph"/>
        <w:numPr>
          <w:ilvl w:val="2"/>
          <w:numId w:val="9"/>
        </w:numPr>
      </w:pPr>
      <w:r>
        <w:t xml:space="preserve">Eksempler på gode </w:t>
      </w:r>
      <w:r w:rsidR="00E91742">
        <w:t>(</w:t>
      </w:r>
      <w:hyperlink r:id="rId24" w:history="1">
        <w:r w:rsidR="00E91742" w:rsidRPr="00C912E5">
          <w:rPr>
            <w:rStyle w:val="Hyperlink"/>
          </w:rPr>
          <w:t>http://www.uio.no/studier/utveksling/avtaler/europa/belgia/uni-gent/matnat.html</w:t>
        </w:r>
      </w:hyperlink>
      <w:r w:rsidR="00E91742">
        <w:t xml:space="preserve">, </w:t>
      </w:r>
      <w:hyperlink r:id="rId25" w:history="1">
        <w:r w:rsidR="00E91742" w:rsidRPr="00C912E5">
          <w:rPr>
            <w:rStyle w:val="Hyperlink"/>
          </w:rPr>
          <w:t>http://www.uio.no/studier/utveksling/avtaler/asia/japan/uni-oita/hf.html</w:t>
        </w:r>
      </w:hyperlink>
      <w:r w:rsidR="00E91742">
        <w:t xml:space="preserve">) </w:t>
      </w:r>
      <w:r>
        <w:t xml:space="preserve">og mindre gode avtalesider </w:t>
      </w:r>
      <w:r w:rsidR="005914F1">
        <w:t>(</w:t>
      </w:r>
      <w:hyperlink r:id="rId26" w:history="1">
        <w:r w:rsidR="00E91742" w:rsidRPr="00C912E5">
          <w:rPr>
            <w:rStyle w:val="Hyperlink"/>
          </w:rPr>
          <w:t>http://www.uio.no/studier/utveksling/avtaler/europa/danmark/kobenhavn-it-uni/ifi.html</w:t>
        </w:r>
      </w:hyperlink>
      <w:r w:rsidR="005914F1">
        <w:t>)</w:t>
      </w:r>
    </w:p>
    <w:p w:rsidR="000475FB" w:rsidRDefault="00BA315D" w:rsidP="00A3595D">
      <w:pPr>
        <w:pStyle w:val="ListParagraph"/>
        <w:numPr>
          <w:ilvl w:val="1"/>
          <w:numId w:val="9"/>
        </w:numPr>
      </w:pPr>
      <w:r>
        <w:t>Programsidene</w:t>
      </w:r>
    </w:p>
    <w:p w:rsidR="00924DD7" w:rsidRDefault="00057BA8" w:rsidP="00A3595D">
      <w:pPr>
        <w:pStyle w:val="ListParagraph"/>
        <w:numPr>
          <w:ilvl w:val="2"/>
          <w:numId w:val="9"/>
        </w:numPr>
      </w:pPr>
      <w:r>
        <w:t>Forbedring på programsidene</w:t>
      </w:r>
      <w:r w:rsidR="00BA315D">
        <w:t xml:space="preserve"> (som vedlikeholdes av </w:t>
      </w:r>
      <w:r w:rsidR="00A2375F">
        <w:t>instituttene</w:t>
      </w:r>
      <w:r w:rsidR="00BA315D">
        <w:t>) inkluderer arbeid med ‘Studieopphold i utlandet’ seksjonen, men også ‘Oppbygging og gjennomføring’ som ikke inkludere</w:t>
      </w:r>
      <w:r w:rsidR="00667319">
        <w:t>r</w:t>
      </w:r>
      <w:r w:rsidR="00BA315D">
        <w:t xml:space="preserve"> informasjon om utv</w:t>
      </w:r>
      <w:r w:rsidR="00667319">
        <w:t>ekslingsmulighetene og hvordan dette kan passe inn i studieløpet (noen programmer nevner UNIS)</w:t>
      </w:r>
    </w:p>
    <w:p w:rsidR="00056488" w:rsidRPr="000475FB" w:rsidRDefault="00056488" w:rsidP="009170B1">
      <w:pPr>
        <w:pStyle w:val="ListParagraph"/>
        <w:numPr>
          <w:ilvl w:val="2"/>
          <w:numId w:val="9"/>
        </w:numPr>
      </w:pPr>
      <w:r>
        <w:t xml:space="preserve">Eksempler på gode </w:t>
      </w:r>
      <w:r w:rsidR="00E91742">
        <w:t>(</w:t>
      </w:r>
      <w:hyperlink r:id="rId27" w:history="1">
        <w:r w:rsidR="00E91742" w:rsidRPr="00C912E5">
          <w:rPr>
            <w:rStyle w:val="Hyperlink"/>
          </w:rPr>
          <w:t>http://www.uio.no/studier/program/biologi/utlandet/</w:t>
        </w:r>
      </w:hyperlink>
      <w:r w:rsidR="00E91742">
        <w:t xml:space="preserve">, </w:t>
      </w:r>
      <w:hyperlink r:id="rId28" w:history="1">
        <w:r w:rsidR="009170B1" w:rsidRPr="00C912E5">
          <w:rPr>
            <w:rStyle w:val="Hyperlink"/>
          </w:rPr>
          <w:t>http://www.uio.no/studier/program/biologi/oppbygging/</w:t>
        </w:r>
      </w:hyperlink>
      <w:r w:rsidR="00E91742">
        <w:t xml:space="preserve">) </w:t>
      </w:r>
      <w:r>
        <w:t xml:space="preserve">og mindre gode programsider </w:t>
      </w:r>
      <w:r w:rsidR="00E91742">
        <w:t>(</w:t>
      </w:r>
      <w:hyperlink r:id="rId29" w:history="1">
        <w:r w:rsidR="00E91742" w:rsidRPr="00C912E5">
          <w:rPr>
            <w:rStyle w:val="Hyperlink"/>
          </w:rPr>
          <w:t>http://www.uio.no/english/studies/programmes/nsa-master/abroad/</w:t>
        </w:r>
      </w:hyperlink>
      <w:r w:rsidR="00E91742">
        <w:t xml:space="preserve">) </w:t>
      </w:r>
    </w:p>
    <w:p w:rsidR="000475FB" w:rsidRDefault="000475FB" w:rsidP="00A3595D">
      <w:pPr>
        <w:pStyle w:val="ListParagraph"/>
        <w:numPr>
          <w:ilvl w:val="0"/>
          <w:numId w:val="9"/>
        </w:numPr>
      </w:pPr>
      <w:r>
        <w:t>Godkjenning (nåværende system)</w:t>
      </w:r>
    </w:p>
    <w:p w:rsidR="000475FB" w:rsidRDefault="000475FB" w:rsidP="00A3595D">
      <w:pPr>
        <w:pStyle w:val="ListParagraph"/>
        <w:numPr>
          <w:ilvl w:val="1"/>
          <w:numId w:val="9"/>
        </w:numPr>
      </w:pPr>
      <w:r>
        <w:t>Forhåndsgodkjenning for utvalgte partner</w:t>
      </w:r>
      <w:r w:rsidR="005914F1">
        <w:t xml:space="preserve"> som innebærer å utarbeide emnepakker for studieprogrammer ved partneruniversiteter som anses som spesielt relevante eller nyttige.</w:t>
      </w:r>
      <w:r w:rsidR="00F96390">
        <w:t xml:space="preserve"> </w:t>
      </w:r>
    </w:p>
    <w:p w:rsidR="000B7428" w:rsidRDefault="000B7428" w:rsidP="00A3595D">
      <w:pPr>
        <w:pStyle w:val="ListParagraph"/>
        <w:numPr>
          <w:ilvl w:val="0"/>
          <w:numId w:val="9"/>
        </w:numPr>
      </w:pPr>
      <w:r>
        <w:t>Inkludere returnerte utvekslingsstudenter mer aktivt i rekruttering for utveksling</w:t>
      </w:r>
      <w:r w:rsidR="00012C5F">
        <w:t xml:space="preserve"> f.eks. ved å bruke studentene til å informere i forelesninger og andre informasjonsmøter og arenaer.</w:t>
      </w:r>
    </w:p>
    <w:p w:rsidR="000B7428" w:rsidRDefault="000B7428" w:rsidP="00A3595D">
      <w:pPr>
        <w:pStyle w:val="ListParagraph"/>
        <w:numPr>
          <w:ilvl w:val="0"/>
          <w:numId w:val="9"/>
        </w:numPr>
      </w:pPr>
      <w:r>
        <w:t xml:space="preserve">Organisere en sammenkomst for returnerte utvekslingsstudenter i samarbeid med Karrieresenteret for å hjelpe studentene å konkretisere utvekslingserfaringen slik at de kan snakke om verdien av dette i </w:t>
      </w:r>
      <w:r w:rsidR="008E49F3">
        <w:t>jo</w:t>
      </w:r>
      <w:r w:rsidR="000438DF">
        <w:t>b</w:t>
      </w:r>
      <w:r w:rsidR="008E49F3">
        <w:t>bintervjuer.</w:t>
      </w:r>
    </w:p>
    <w:p w:rsidR="00334287" w:rsidRDefault="00334287" w:rsidP="00A3595D">
      <w:pPr>
        <w:pStyle w:val="ListParagraph"/>
        <w:numPr>
          <w:ilvl w:val="0"/>
          <w:numId w:val="9"/>
        </w:numPr>
      </w:pPr>
      <w:r>
        <w:t>Øke kunnskap om finansieringskilder for ansattmobilitet gjennom Erasmus+.</w:t>
      </w:r>
    </w:p>
    <w:p w:rsidR="00BB19EE" w:rsidRDefault="00BB19EE" w:rsidP="00A3595D">
      <w:pPr>
        <w:pStyle w:val="ListParagraph"/>
        <w:numPr>
          <w:ilvl w:val="0"/>
          <w:numId w:val="9"/>
        </w:numPr>
      </w:pPr>
      <w:r>
        <w:t>Anerkjennelse for administrativt og vitenskapelige ansatte som arbeider med utveskling og internasjonalisering</w:t>
      </w:r>
    </w:p>
    <w:p w:rsidR="00BB19EE" w:rsidRDefault="00BB19EE" w:rsidP="00A3595D">
      <w:pPr>
        <w:pStyle w:val="ListParagraph"/>
        <w:numPr>
          <w:ilvl w:val="1"/>
          <w:numId w:val="9"/>
        </w:numPr>
      </w:pPr>
      <w:r>
        <w:t>For mange admin</w:t>
      </w:r>
      <w:r w:rsidR="00F96390">
        <w:t>istrativt</w:t>
      </w:r>
      <w:r>
        <w:t xml:space="preserve"> ansatte er internasjonalisering en mindre del av arbeidsoppgavene til personer som føler mye press fra mange kanter. Det er viktig at instituttleder gir tydelige signaler om at dette er et viktig område som det skal avsettes nok ressurser til å gjøre. En større prosentandel av stillingsbeskrivelsen burde dedikeres til dette.</w:t>
      </w:r>
      <w:r w:rsidR="00B86620">
        <w:t xml:space="preserve"> Arbeidet med avtale- og programsider gjøres av administrativt ansatte.</w:t>
      </w:r>
    </w:p>
    <w:p w:rsidR="00BB19EE" w:rsidRDefault="00BB19EE" w:rsidP="00A3595D">
      <w:pPr>
        <w:pStyle w:val="ListParagraph"/>
        <w:numPr>
          <w:ilvl w:val="1"/>
          <w:numId w:val="9"/>
        </w:numPr>
      </w:pPr>
      <w:r>
        <w:t>Kunne oppgaver som vitenskapelige tar på seg få økt annerkjennelse på instituttene?</w:t>
      </w:r>
    </w:p>
    <w:p w:rsidR="00BB19EE" w:rsidRDefault="00BB19EE" w:rsidP="00A3595D">
      <w:pPr>
        <w:pStyle w:val="ListParagraph"/>
        <w:numPr>
          <w:ilvl w:val="0"/>
          <w:numId w:val="9"/>
        </w:numPr>
      </w:pPr>
      <w:r>
        <w:t>Utvekslings</w:t>
      </w:r>
      <w:r w:rsidR="00F96390">
        <w:t>-</w:t>
      </w:r>
      <w:r>
        <w:t xml:space="preserve"> og internasjonalisering som eget </w:t>
      </w:r>
      <w:r w:rsidR="00FF6DFB">
        <w:t>tema</w:t>
      </w:r>
      <w:r>
        <w:t xml:space="preserve"> i dialogmøtene mellom fakultet og instituttene</w:t>
      </w:r>
    </w:p>
    <w:p w:rsidR="00B86620" w:rsidRDefault="00B86620" w:rsidP="00B86620">
      <w:pPr>
        <w:pStyle w:val="ListParagraph"/>
        <w:numPr>
          <w:ilvl w:val="1"/>
          <w:numId w:val="9"/>
        </w:numPr>
      </w:pPr>
      <w:r>
        <w:t>Instituttleder og utdanningsledere må snakke om utveksling og viktigheten av det</w:t>
      </w:r>
    </w:p>
    <w:p w:rsidR="00B86620" w:rsidRDefault="00B86620" w:rsidP="00B86620">
      <w:pPr>
        <w:pStyle w:val="ListParagraph"/>
        <w:ind w:left="1440"/>
      </w:pPr>
    </w:p>
    <w:p w:rsidR="001C09FF" w:rsidRDefault="00B86620" w:rsidP="00666893">
      <w:pPr>
        <w:pStyle w:val="Heading2"/>
        <w:ind w:firstLine="360"/>
      </w:pPr>
      <w:r>
        <w:lastRenderedPageBreak/>
        <w:t>6.2 Større</w:t>
      </w:r>
      <w:r w:rsidR="001C09FF">
        <w:t>, ambisiøse forslag</w:t>
      </w:r>
    </w:p>
    <w:p w:rsidR="000475FB" w:rsidRDefault="000475FB" w:rsidP="00A3595D">
      <w:r>
        <w:t>Ideer</w:t>
      </w:r>
      <w:r w:rsidR="00E458D2">
        <w:t xml:space="preserve"> som</w:t>
      </w:r>
      <w:r w:rsidR="00105895">
        <w:t xml:space="preserve"> krever videre arbeid</w:t>
      </w:r>
    </w:p>
    <w:p w:rsidR="00C30633" w:rsidRDefault="00110D0B" w:rsidP="00E6617B">
      <w:pPr>
        <w:pStyle w:val="ListParagraph"/>
        <w:numPr>
          <w:ilvl w:val="0"/>
          <w:numId w:val="9"/>
        </w:numPr>
      </w:pPr>
      <w:r>
        <w:t>Forenkl</w:t>
      </w:r>
      <w:r w:rsidR="00C30633">
        <w:t>e</w:t>
      </w:r>
      <w:r>
        <w:t xml:space="preserve"> godkjenningsprosedyren gjennom arbeid med emnepakker, identifisering av partnere som er spesielt egnet til utveksling innenfor visse fagfelt, også </w:t>
      </w:r>
      <w:r w:rsidR="00C70161">
        <w:t xml:space="preserve">for </w:t>
      </w:r>
      <w:r>
        <w:t>avtaler administrert sentralt (UiO avtaler)</w:t>
      </w:r>
      <w:r w:rsidR="00C30633">
        <w:t xml:space="preserve">. </w:t>
      </w:r>
    </w:p>
    <w:p w:rsidR="00110D0B" w:rsidRDefault="00C30633" w:rsidP="00E6617B">
      <w:pPr>
        <w:pStyle w:val="ListParagraph"/>
        <w:numPr>
          <w:ilvl w:val="0"/>
          <w:numId w:val="9"/>
        </w:numPr>
      </w:pPr>
      <w:r>
        <w:t>Ø</w:t>
      </w:r>
      <w:r w:rsidR="00C70161">
        <w:t>ke engasjementet for utveksling blant ansatte gjennom mer informasjon.</w:t>
      </w:r>
    </w:p>
    <w:p w:rsidR="00105895" w:rsidRDefault="00105895" w:rsidP="00E6617B">
      <w:pPr>
        <w:pStyle w:val="ListParagraph"/>
        <w:numPr>
          <w:ilvl w:val="0"/>
          <w:numId w:val="9"/>
        </w:numPr>
      </w:pPr>
      <w:r>
        <w:t xml:space="preserve">Emner med bredere </w:t>
      </w:r>
      <w:r w:rsidR="00BA315D">
        <w:t>eller annen fagrelevans kan innpasses i graden, som del av grad, ikke frie studiepoeng</w:t>
      </w:r>
      <w:r w:rsidR="00667319">
        <w:t>. Kan programmene avsi studiepoeng fra sine fordypningsemner til andre, komplementerende, fagområder? Hvis så er tilfelle</w:t>
      </w:r>
      <w:r w:rsidR="009C7D8C">
        <w:t>,</w:t>
      </w:r>
      <w:r w:rsidR="00667319">
        <w:t xml:space="preserve"> må dette kunne gjøres for studenter som blir ved UiO og </w:t>
      </w:r>
      <w:r w:rsidR="00131801">
        <w:t xml:space="preserve">som </w:t>
      </w:r>
      <w:r w:rsidR="00667319">
        <w:t>ikke reise</w:t>
      </w:r>
      <w:r w:rsidR="00131801">
        <w:t>r</w:t>
      </w:r>
      <w:r w:rsidR="00667319">
        <w:t xml:space="preserve"> ut også?</w:t>
      </w:r>
      <w:r w:rsidR="00DF521D">
        <w:t xml:space="preserve"> Både arbeidsliv og forskning trenger personer med sammensatte fagområder, hva med;</w:t>
      </w:r>
    </w:p>
    <w:p w:rsidR="00BA315D" w:rsidRDefault="00BA315D" w:rsidP="00A3595D">
      <w:pPr>
        <w:pStyle w:val="ListParagraph"/>
        <w:numPr>
          <w:ilvl w:val="1"/>
          <w:numId w:val="10"/>
        </w:numPr>
      </w:pPr>
      <w:r>
        <w:t>Biologer med sosiologi</w:t>
      </w:r>
    </w:p>
    <w:p w:rsidR="00BA315D" w:rsidRDefault="00BA315D" w:rsidP="00A3595D">
      <w:pPr>
        <w:pStyle w:val="ListParagraph"/>
        <w:numPr>
          <w:ilvl w:val="1"/>
          <w:numId w:val="10"/>
        </w:numPr>
      </w:pPr>
      <w:r>
        <w:t>Fysikere med økonomi</w:t>
      </w:r>
    </w:p>
    <w:p w:rsidR="00BA315D" w:rsidRDefault="00BA315D" w:rsidP="00A3595D">
      <w:pPr>
        <w:pStyle w:val="ListParagraph"/>
        <w:numPr>
          <w:ilvl w:val="1"/>
          <w:numId w:val="10"/>
        </w:numPr>
      </w:pPr>
      <w:r>
        <w:t>Informatikere med spansk</w:t>
      </w:r>
    </w:p>
    <w:p w:rsidR="00BA315D" w:rsidRDefault="00BA315D" w:rsidP="00A3595D">
      <w:pPr>
        <w:pStyle w:val="ListParagraph"/>
        <w:numPr>
          <w:ilvl w:val="1"/>
          <w:numId w:val="10"/>
        </w:numPr>
      </w:pPr>
      <w:r>
        <w:t>Kjemikere med historie</w:t>
      </w:r>
    </w:p>
    <w:p w:rsidR="00105895" w:rsidRDefault="00105895" w:rsidP="00E6617B">
      <w:pPr>
        <w:pStyle w:val="ListParagraph"/>
        <w:numPr>
          <w:ilvl w:val="0"/>
          <w:numId w:val="9"/>
        </w:numPr>
      </w:pPr>
      <w:r>
        <w:t>Inkludere internasjonal aktivitet på vitnemål, karakterutskrift eller som eget vedlegg (</w:t>
      </w:r>
      <w:r w:rsidR="003F4AE1">
        <w:t>evt.</w:t>
      </w:r>
      <w:r>
        <w:t xml:space="preserve"> som del av annen </w:t>
      </w:r>
      <w:r w:rsidR="003F4AE1">
        <w:t>profesjonell</w:t>
      </w:r>
      <w:r>
        <w:t xml:space="preserve"> kompetanse)</w:t>
      </w:r>
      <w:r w:rsidR="00924DD7">
        <w:t>. Det er å foretrekke at dette inkluderes i vitnemålet på en tydelig måte</w:t>
      </w:r>
      <w:r w:rsidR="00B41C01">
        <w:t xml:space="preserve">, </w:t>
      </w:r>
      <w:r w:rsidR="00924DD7">
        <w:t>både fordi det setter søkelyset på aktiviteten og fordi det kan skape en forventning om at dette er noe som er en del av studiene.</w:t>
      </w:r>
    </w:p>
    <w:p w:rsidR="00624CF6" w:rsidRDefault="008510EE" w:rsidP="00E6617B">
      <w:pPr>
        <w:pStyle w:val="ListParagraph"/>
        <w:numPr>
          <w:ilvl w:val="0"/>
          <w:numId w:val="9"/>
        </w:numPr>
      </w:pPr>
      <w:r>
        <w:t>Erstatte siste semester i bachelorgrad med et prosjektsemester på 30 studiepoeng, helst forskningsbasert, som en bacheloroppgave. Studentene oppfordres til å finne et sted utenfor UiO å gjøre oppgaven. Bruke vitenskapelige ansattes kontakter i fagmiljøer i inn- og utland, samt industri, hvor hele eller deler av oppgaven skal gjøres. Sensur ved UiO. Ville kreve initiativ fra student og oppmuntre til nettverksbygging. Flere muligheter til å reise til partneruniversiteter i land som ikke underviser på engelsk fordi forskergrupper vanligvis bruker engelsk som fellesspråk. Mer fleksibelt for å reise til steder hvor semesterdatoene gjør vanlig semesterutveksling vanskelig, som i Tyskland.</w:t>
      </w:r>
      <w:r w:rsidR="00B41C01">
        <w:t xml:space="preserve"> Denne typen prosjektsemester er vanligere i andre deler av Europa og hvis denne type aktivitet finner sted innenfor Erasmus+ programland vil det finnes finansiering gjennom praksismobilitetprogrammet, som også har et månedlig stipend på samme måte som studentmobilitet.</w:t>
      </w:r>
    </w:p>
    <w:p w:rsidR="00033CBD" w:rsidRDefault="00F96390" w:rsidP="00E6617B">
      <w:pPr>
        <w:pStyle w:val="ListParagraph"/>
        <w:numPr>
          <w:ilvl w:val="0"/>
          <w:numId w:val="9"/>
        </w:numPr>
      </w:pPr>
      <w:r>
        <w:t>Utarbeide opplæring/foredrag som kan gis ansatte for å øke forståelse av</w:t>
      </w:r>
      <w:r w:rsidR="00131801">
        <w:t>,</w:t>
      </w:r>
      <w:r>
        <w:t xml:space="preserve"> viktigheten</w:t>
      </w:r>
      <w:r w:rsidR="000B7428">
        <w:t xml:space="preserve"> av</w:t>
      </w:r>
      <w:r w:rsidR="00131801">
        <w:t>,</w:t>
      </w:r>
      <w:r>
        <w:t xml:space="preserve"> og kunnskapsnivå</w:t>
      </w:r>
      <w:r w:rsidR="000B7428">
        <w:t xml:space="preserve"> om internasjonalisering</w:t>
      </w:r>
      <w:r>
        <w:t xml:space="preserve">. </w:t>
      </w:r>
      <w:r w:rsidR="00033CBD">
        <w:t>Vitenskapelige må få bedre informasjon om utveksling, slik at de kan snakke om dette med trygghet. De må oppfordres til å snakke om undervisningsmulighetene hos partnere, ikke bare forskning, slik at de har oversikt over tilbudene som finnes på partneruniversitetene som kan komplementere eller erstatte emner ved UiO.</w:t>
      </w:r>
      <w:r w:rsidR="005914F1">
        <w:t xml:space="preserve"> </w:t>
      </w:r>
    </w:p>
    <w:p w:rsidR="000B7428" w:rsidRDefault="003C13AA" w:rsidP="000B7428">
      <w:pPr>
        <w:pStyle w:val="ListParagraph"/>
        <w:numPr>
          <w:ilvl w:val="1"/>
          <w:numId w:val="10"/>
        </w:numPr>
      </w:pPr>
      <w:r>
        <w:t xml:space="preserve">Holdningen til utveksling </w:t>
      </w:r>
      <w:r w:rsidR="00F96390">
        <w:t>kan</w:t>
      </w:r>
      <w:r>
        <w:t xml:space="preserve"> for</w:t>
      </w:r>
      <w:r w:rsidR="00F96390">
        <w:t>bedres</w:t>
      </w:r>
      <w:r>
        <w:t xml:space="preserve">, slik at tilbudet som utveksling gir bør ses på som et større gode enn kun erstatningen av emner ellers tatt ved UiO. </w:t>
      </w:r>
    </w:p>
    <w:p w:rsidR="00F96390" w:rsidRDefault="00BA315D" w:rsidP="00E6617B">
      <w:pPr>
        <w:pStyle w:val="ListParagraph"/>
        <w:numPr>
          <w:ilvl w:val="0"/>
          <w:numId w:val="9"/>
        </w:numPr>
      </w:pPr>
      <w:r>
        <w:t>Det bør kunne settes generelle rammer for utvekslingsoppholdet (hvilket semester, antall emner/sp og nivå, institutt/fakultet emnene gis) og når disse overholdes bør oppholdet godkjennes i sin helhet uten avkortning eller behov for kalkulering</w:t>
      </w:r>
    </w:p>
    <w:p w:rsidR="00F96390" w:rsidRDefault="00F96390" w:rsidP="00F96390">
      <w:pPr>
        <w:pStyle w:val="ListParagraph"/>
        <w:numPr>
          <w:ilvl w:val="1"/>
          <w:numId w:val="10"/>
        </w:numPr>
      </w:pPr>
      <w:r>
        <w:t>Ideen for emner ved UNIS er at disse skal komplementere, men ikke erstatte emner ved fastlandsuniversitetene, en slik holdning bør overføres til godkjenningsprosessen for annen utveksling også.</w:t>
      </w:r>
    </w:p>
    <w:p w:rsidR="000B7428" w:rsidRDefault="003F4AE1" w:rsidP="00E6617B">
      <w:pPr>
        <w:pStyle w:val="ListParagraph"/>
        <w:numPr>
          <w:ilvl w:val="0"/>
          <w:numId w:val="9"/>
        </w:numPr>
      </w:pPr>
      <w:r>
        <w:t>Utforske mulighetene for finansieringen til PhD utveksling slik at det blir lettere å inkludere de med familie og spesielt viktig å inkludere dette i prosjektsøknader.</w:t>
      </w:r>
    </w:p>
    <w:p w:rsidR="003C13AA" w:rsidRDefault="00667319" w:rsidP="00E6617B">
      <w:pPr>
        <w:pStyle w:val="ListParagraph"/>
        <w:numPr>
          <w:ilvl w:val="0"/>
          <w:numId w:val="9"/>
        </w:numPr>
      </w:pPr>
      <w:r>
        <w:t>Promo video om utvekslingsopphold (2-5 min)</w:t>
      </w:r>
      <w:r w:rsidR="00BB19EE">
        <w:t xml:space="preserve"> som kan brukes i forelesninger og</w:t>
      </w:r>
      <w:r>
        <w:t xml:space="preserve"> Åpen Dag</w:t>
      </w:r>
      <w:r w:rsidR="00BB19EE">
        <w:t xml:space="preserve"> osv. En kort promovideo med returnerte studenter som snakker om utvekslingsoppholdet og hva de fikk ut av det.</w:t>
      </w:r>
    </w:p>
    <w:p w:rsidR="00033CBD" w:rsidRPr="00105895" w:rsidRDefault="00033CBD" w:rsidP="00A3595D"/>
    <w:sectPr w:rsidR="00033CBD" w:rsidRPr="00105895">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205" w:rsidRDefault="00385205" w:rsidP="00B20A7C">
      <w:pPr>
        <w:spacing w:after="0" w:line="240" w:lineRule="auto"/>
      </w:pPr>
      <w:r>
        <w:separator/>
      </w:r>
    </w:p>
  </w:endnote>
  <w:endnote w:type="continuationSeparator" w:id="0">
    <w:p w:rsidR="00385205" w:rsidRDefault="00385205" w:rsidP="00B20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0345770"/>
      <w:docPartObj>
        <w:docPartGallery w:val="Page Numbers (Bottom of Page)"/>
        <w:docPartUnique/>
      </w:docPartObj>
    </w:sdtPr>
    <w:sdtEndPr/>
    <w:sdtContent>
      <w:p w:rsidR="00FE5023" w:rsidRDefault="00FE5023">
        <w:pPr>
          <w:pStyle w:val="Footer"/>
          <w:jc w:val="center"/>
        </w:pPr>
        <w:r>
          <w:fldChar w:fldCharType="begin"/>
        </w:r>
        <w:r>
          <w:instrText>PAGE   \* MERGEFORMAT</w:instrText>
        </w:r>
        <w:r>
          <w:fldChar w:fldCharType="separate"/>
        </w:r>
        <w:r w:rsidR="008C78BA">
          <w:rPr>
            <w:noProof/>
          </w:rPr>
          <w:t>1</w:t>
        </w:r>
        <w:r>
          <w:fldChar w:fldCharType="end"/>
        </w:r>
      </w:p>
    </w:sdtContent>
  </w:sdt>
  <w:p w:rsidR="00FE5023" w:rsidRDefault="00FE50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205" w:rsidRDefault="00385205" w:rsidP="00B20A7C">
      <w:pPr>
        <w:spacing w:after="0" w:line="240" w:lineRule="auto"/>
      </w:pPr>
      <w:r>
        <w:separator/>
      </w:r>
    </w:p>
  </w:footnote>
  <w:footnote w:type="continuationSeparator" w:id="0">
    <w:p w:rsidR="00385205" w:rsidRDefault="00385205" w:rsidP="00B20A7C">
      <w:pPr>
        <w:spacing w:after="0" w:line="240" w:lineRule="auto"/>
      </w:pPr>
      <w:r>
        <w:continuationSeparator/>
      </w:r>
    </w:p>
  </w:footnote>
  <w:footnote w:id="1">
    <w:p w:rsidR="00FE5023" w:rsidRPr="00F70664" w:rsidRDefault="00FE5023" w:rsidP="00B20A7C">
      <w:pPr>
        <w:pStyle w:val="FootnoteText"/>
        <w:rPr>
          <w:lang w:val="en-US"/>
        </w:rPr>
      </w:pPr>
      <w:r>
        <w:rPr>
          <w:rStyle w:val="FootnoteReference"/>
        </w:rPr>
        <w:footnoteRef/>
      </w:r>
      <w:r w:rsidRPr="00F70664">
        <w:rPr>
          <w:lang w:val="en-US"/>
        </w:rPr>
        <w:t xml:space="preserve"> METOXIA: Metastatic tumours facilitated by hypoxic tumour micro-environment, 2009-2014</w:t>
      </w:r>
    </w:p>
  </w:footnote>
  <w:footnote w:id="2">
    <w:p w:rsidR="00FE5023" w:rsidRPr="00F70664" w:rsidRDefault="00FE5023" w:rsidP="00B20A7C">
      <w:pPr>
        <w:pStyle w:val="FootnoteText"/>
        <w:rPr>
          <w:lang w:val="en-US"/>
        </w:rPr>
      </w:pPr>
      <w:r>
        <w:rPr>
          <w:rStyle w:val="FootnoteReference"/>
        </w:rPr>
        <w:footnoteRef/>
      </w:r>
      <w:r w:rsidRPr="00F70664">
        <w:rPr>
          <w:lang w:val="en-US"/>
        </w:rPr>
        <w:t xml:space="preserve"> MUTHI: Multi-disciplinary University Traditional Health Initiative: Building Sustainable Research Capacity on Plants for Better Public Health in Africa</w:t>
      </w:r>
      <w:r>
        <w:rPr>
          <w:lang w:val="en-US"/>
        </w:rPr>
        <w:t>, 2010-2014</w:t>
      </w:r>
    </w:p>
  </w:footnote>
  <w:footnote w:id="3">
    <w:p w:rsidR="00FE5023" w:rsidRPr="00F70664" w:rsidRDefault="00FE5023" w:rsidP="00B20A7C">
      <w:pPr>
        <w:pStyle w:val="NoSpacing"/>
        <w:rPr>
          <w:lang w:val="en-US"/>
        </w:rPr>
      </w:pPr>
      <w:r>
        <w:rPr>
          <w:rStyle w:val="FootnoteReference"/>
        </w:rPr>
        <w:footnoteRef/>
      </w:r>
      <w:r w:rsidRPr="00F70664">
        <w:rPr>
          <w:lang w:val="en-US"/>
        </w:rPr>
        <w:t xml:space="preserve"> </w:t>
      </w:r>
      <w:r w:rsidRPr="00CB4F9A">
        <w:rPr>
          <w:lang w:val="en-US"/>
        </w:rPr>
        <w:t>MAHEATT</w:t>
      </w:r>
      <w:r>
        <w:rPr>
          <w:lang w:val="en-US"/>
        </w:rPr>
        <w:t xml:space="preserve">: </w:t>
      </w:r>
      <w:r w:rsidRPr="00CB4F9A">
        <w:rPr>
          <w:lang w:val="en-US"/>
        </w:rPr>
        <w:t>Materials for high energy accumulators in traction and tools</w:t>
      </w:r>
      <w:r>
        <w:rPr>
          <w:lang w:val="en-US"/>
        </w:rPr>
        <w:t>, 2009-2012</w:t>
      </w:r>
    </w:p>
  </w:footnote>
  <w:footnote w:id="4">
    <w:p w:rsidR="00FE5023" w:rsidRPr="00F70664" w:rsidRDefault="00FE5023" w:rsidP="00B20A7C">
      <w:pPr>
        <w:pStyle w:val="NoSpacing"/>
        <w:rPr>
          <w:lang w:val="en-US"/>
        </w:rPr>
      </w:pPr>
      <w:r>
        <w:rPr>
          <w:rStyle w:val="FootnoteReference"/>
        </w:rPr>
        <w:footnoteRef/>
      </w:r>
      <w:r w:rsidRPr="00F70664">
        <w:rPr>
          <w:lang w:val="en-US"/>
        </w:rPr>
        <w:t xml:space="preserve"> Optique</w:t>
      </w:r>
      <w:r>
        <w:rPr>
          <w:lang w:val="en-US"/>
        </w:rPr>
        <w:t xml:space="preserve">: </w:t>
      </w:r>
      <w:r w:rsidRPr="00F70664">
        <w:rPr>
          <w:lang w:val="en-US"/>
        </w:rPr>
        <w:t>Scalable End-user Access to Big Data</w:t>
      </w:r>
      <w:r>
        <w:rPr>
          <w:lang w:val="en-US"/>
        </w:rPr>
        <w:t>, 2012 – 2016</w:t>
      </w:r>
    </w:p>
  </w:footnote>
  <w:footnote w:id="5">
    <w:p w:rsidR="00FE5023" w:rsidRPr="00CB4F9A" w:rsidRDefault="00FE5023" w:rsidP="00B20A7C">
      <w:pPr>
        <w:pStyle w:val="NoSpacing"/>
        <w:rPr>
          <w:lang w:val="en-US"/>
        </w:rPr>
      </w:pPr>
      <w:r>
        <w:rPr>
          <w:rStyle w:val="FootnoteReference"/>
        </w:rPr>
        <w:footnoteRef/>
      </w:r>
      <w:r w:rsidRPr="00AD6418">
        <w:rPr>
          <w:lang w:val="en-US"/>
        </w:rPr>
        <w:t xml:space="preserve"> </w:t>
      </w:r>
      <w:r w:rsidRPr="00CB4F9A">
        <w:rPr>
          <w:lang w:val="en-US"/>
        </w:rPr>
        <w:t>ELECTRA</w:t>
      </w:r>
      <w:r>
        <w:rPr>
          <w:lang w:val="en-US"/>
        </w:rPr>
        <w:t xml:space="preserve">: </w:t>
      </w:r>
      <w:r w:rsidRPr="00AD6418">
        <w:rPr>
          <w:lang w:val="en-US"/>
        </w:rPr>
        <w:t>High temperature electrolyser</w:t>
      </w:r>
      <w:r>
        <w:rPr>
          <w:lang w:val="en-US"/>
        </w:rPr>
        <w:t xml:space="preserve"> </w:t>
      </w:r>
      <w:r w:rsidRPr="00AD6418">
        <w:rPr>
          <w:lang w:val="en-US"/>
        </w:rPr>
        <w:t>with novel proton ceramic tubular modules of superior efficiency, robustness, and lifetime economy</w:t>
      </w:r>
      <w:r>
        <w:rPr>
          <w:lang w:val="en-US"/>
        </w:rPr>
        <w:t>, 2014-2017</w:t>
      </w:r>
    </w:p>
    <w:p w:rsidR="00FE5023" w:rsidRPr="00AD6418" w:rsidRDefault="00FE5023" w:rsidP="00B20A7C">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702D9"/>
    <w:multiLevelType w:val="hybridMultilevel"/>
    <w:tmpl w:val="EFB0CFC8"/>
    <w:lvl w:ilvl="0" w:tplc="2B4453DE">
      <w:start w:val="1"/>
      <w:numFmt w:val="decimal"/>
      <w:lvlText w:val="%1."/>
      <w:lvlJc w:val="left"/>
      <w:pPr>
        <w:ind w:left="720" w:hanging="360"/>
      </w:pPr>
      <w:rPr>
        <w:rFonts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1C9A764B"/>
    <w:multiLevelType w:val="hybridMultilevel"/>
    <w:tmpl w:val="D1B8090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1E832F51"/>
    <w:multiLevelType w:val="hybridMultilevel"/>
    <w:tmpl w:val="C3B80B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411800FA"/>
    <w:multiLevelType w:val="hybridMultilevel"/>
    <w:tmpl w:val="E58CD69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4B537E37"/>
    <w:multiLevelType w:val="hybridMultilevel"/>
    <w:tmpl w:val="5350A73C"/>
    <w:lvl w:ilvl="0" w:tplc="0414000F">
      <w:start w:val="1"/>
      <w:numFmt w:val="decimal"/>
      <w:lvlText w:val="%1."/>
      <w:lvlJc w:val="left"/>
      <w:pPr>
        <w:ind w:left="720" w:hanging="360"/>
      </w:pPr>
      <w:rPr>
        <w:rFont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4BB52B88"/>
    <w:multiLevelType w:val="multilevel"/>
    <w:tmpl w:val="D14A93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5AC4DA3"/>
    <w:multiLevelType w:val="hybridMultilevel"/>
    <w:tmpl w:val="8056F8C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6D907B83"/>
    <w:multiLevelType w:val="hybridMultilevel"/>
    <w:tmpl w:val="278ECE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73363DD7"/>
    <w:multiLevelType w:val="hybridMultilevel"/>
    <w:tmpl w:val="2E885CB0"/>
    <w:lvl w:ilvl="0" w:tplc="04140001">
      <w:start w:val="1"/>
      <w:numFmt w:val="bullet"/>
      <w:lvlText w:val=""/>
      <w:lvlJc w:val="left"/>
      <w:pPr>
        <w:ind w:left="825" w:hanging="360"/>
      </w:pPr>
      <w:rPr>
        <w:rFonts w:ascii="Symbol" w:hAnsi="Symbol" w:hint="default"/>
      </w:rPr>
    </w:lvl>
    <w:lvl w:ilvl="1" w:tplc="04140003" w:tentative="1">
      <w:start w:val="1"/>
      <w:numFmt w:val="bullet"/>
      <w:lvlText w:val="o"/>
      <w:lvlJc w:val="left"/>
      <w:pPr>
        <w:ind w:left="1545" w:hanging="360"/>
      </w:pPr>
      <w:rPr>
        <w:rFonts w:ascii="Courier New" w:hAnsi="Courier New" w:cs="Courier New" w:hint="default"/>
      </w:rPr>
    </w:lvl>
    <w:lvl w:ilvl="2" w:tplc="04140005" w:tentative="1">
      <w:start w:val="1"/>
      <w:numFmt w:val="bullet"/>
      <w:lvlText w:val=""/>
      <w:lvlJc w:val="left"/>
      <w:pPr>
        <w:ind w:left="2265" w:hanging="360"/>
      </w:pPr>
      <w:rPr>
        <w:rFonts w:ascii="Wingdings" w:hAnsi="Wingdings" w:hint="default"/>
      </w:rPr>
    </w:lvl>
    <w:lvl w:ilvl="3" w:tplc="04140001" w:tentative="1">
      <w:start w:val="1"/>
      <w:numFmt w:val="bullet"/>
      <w:lvlText w:val=""/>
      <w:lvlJc w:val="left"/>
      <w:pPr>
        <w:ind w:left="2985" w:hanging="360"/>
      </w:pPr>
      <w:rPr>
        <w:rFonts w:ascii="Symbol" w:hAnsi="Symbol" w:hint="default"/>
      </w:rPr>
    </w:lvl>
    <w:lvl w:ilvl="4" w:tplc="04140003" w:tentative="1">
      <w:start w:val="1"/>
      <w:numFmt w:val="bullet"/>
      <w:lvlText w:val="o"/>
      <w:lvlJc w:val="left"/>
      <w:pPr>
        <w:ind w:left="3705" w:hanging="360"/>
      </w:pPr>
      <w:rPr>
        <w:rFonts w:ascii="Courier New" w:hAnsi="Courier New" w:cs="Courier New" w:hint="default"/>
      </w:rPr>
    </w:lvl>
    <w:lvl w:ilvl="5" w:tplc="04140005" w:tentative="1">
      <w:start w:val="1"/>
      <w:numFmt w:val="bullet"/>
      <w:lvlText w:val=""/>
      <w:lvlJc w:val="left"/>
      <w:pPr>
        <w:ind w:left="4425" w:hanging="360"/>
      </w:pPr>
      <w:rPr>
        <w:rFonts w:ascii="Wingdings" w:hAnsi="Wingdings" w:hint="default"/>
      </w:rPr>
    </w:lvl>
    <w:lvl w:ilvl="6" w:tplc="04140001" w:tentative="1">
      <w:start w:val="1"/>
      <w:numFmt w:val="bullet"/>
      <w:lvlText w:val=""/>
      <w:lvlJc w:val="left"/>
      <w:pPr>
        <w:ind w:left="5145" w:hanging="360"/>
      </w:pPr>
      <w:rPr>
        <w:rFonts w:ascii="Symbol" w:hAnsi="Symbol" w:hint="default"/>
      </w:rPr>
    </w:lvl>
    <w:lvl w:ilvl="7" w:tplc="04140003" w:tentative="1">
      <w:start w:val="1"/>
      <w:numFmt w:val="bullet"/>
      <w:lvlText w:val="o"/>
      <w:lvlJc w:val="left"/>
      <w:pPr>
        <w:ind w:left="5865" w:hanging="360"/>
      </w:pPr>
      <w:rPr>
        <w:rFonts w:ascii="Courier New" w:hAnsi="Courier New" w:cs="Courier New" w:hint="default"/>
      </w:rPr>
    </w:lvl>
    <w:lvl w:ilvl="8" w:tplc="04140005" w:tentative="1">
      <w:start w:val="1"/>
      <w:numFmt w:val="bullet"/>
      <w:lvlText w:val=""/>
      <w:lvlJc w:val="left"/>
      <w:pPr>
        <w:ind w:left="6585" w:hanging="360"/>
      </w:pPr>
      <w:rPr>
        <w:rFonts w:ascii="Wingdings" w:hAnsi="Wingdings" w:hint="default"/>
      </w:rPr>
    </w:lvl>
  </w:abstractNum>
  <w:abstractNum w:abstractNumId="9">
    <w:nsid w:val="7384656C"/>
    <w:multiLevelType w:val="hybridMultilevel"/>
    <w:tmpl w:val="6A5E25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7F3742D1"/>
    <w:multiLevelType w:val="hybridMultilevel"/>
    <w:tmpl w:val="0C16E4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
  </w:num>
  <w:num w:numId="4">
    <w:abstractNumId w:val="10"/>
  </w:num>
  <w:num w:numId="5">
    <w:abstractNumId w:val="8"/>
  </w:num>
  <w:num w:numId="6">
    <w:abstractNumId w:val="5"/>
  </w:num>
  <w:num w:numId="7">
    <w:abstractNumId w:val="2"/>
  </w:num>
  <w:num w:numId="8">
    <w:abstractNumId w:val="9"/>
  </w:num>
  <w:num w:numId="9">
    <w:abstractNumId w:val="0"/>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1&lt;/Enabled&gt;&lt;ScanUnformatted&gt;1&lt;/ScanUnformatted&gt;&lt;ScanChanges&gt;1&lt;/ScanChanges&gt;&lt;/ENInstantFormat&gt;"/>
  </w:docVars>
  <w:rsids>
    <w:rsidRoot w:val="00A72743"/>
    <w:rsid w:val="00006CF1"/>
    <w:rsid w:val="00011A7A"/>
    <w:rsid w:val="00012C5F"/>
    <w:rsid w:val="00021308"/>
    <w:rsid w:val="00033CBD"/>
    <w:rsid w:val="000438DF"/>
    <w:rsid w:val="00046882"/>
    <w:rsid w:val="000475FB"/>
    <w:rsid w:val="00056488"/>
    <w:rsid w:val="00057BA8"/>
    <w:rsid w:val="000658BA"/>
    <w:rsid w:val="000873D1"/>
    <w:rsid w:val="000B7428"/>
    <w:rsid w:val="000C306A"/>
    <w:rsid w:val="000D4268"/>
    <w:rsid w:val="00105895"/>
    <w:rsid w:val="00110D0B"/>
    <w:rsid w:val="00131801"/>
    <w:rsid w:val="00184E97"/>
    <w:rsid w:val="001A60AB"/>
    <w:rsid w:val="001C070C"/>
    <w:rsid w:val="001C09FF"/>
    <w:rsid w:val="001C3AD7"/>
    <w:rsid w:val="001C48BE"/>
    <w:rsid w:val="001F292E"/>
    <w:rsid w:val="00200FEC"/>
    <w:rsid w:val="0025778E"/>
    <w:rsid w:val="002917FF"/>
    <w:rsid w:val="002B4640"/>
    <w:rsid w:val="002C7E22"/>
    <w:rsid w:val="00317DF6"/>
    <w:rsid w:val="003333F0"/>
    <w:rsid w:val="00334287"/>
    <w:rsid w:val="0033742C"/>
    <w:rsid w:val="003439CA"/>
    <w:rsid w:val="0034511D"/>
    <w:rsid w:val="0035746F"/>
    <w:rsid w:val="00385205"/>
    <w:rsid w:val="00397163"/>
    <w:rsid w:val="003B7422"/>
    <w:rsid w:val="003C03AC"/>
    <w:rsid w:val="003C13AA"/>
    <w:rsid w:val="003C6E54"/>
    <w:rsid w:val="003F4AE1"/>
    <w:rsid w:val="00432969"/>
    <w:rsid w:val="004867FF"/>
    <w:rsid w:val="004B1FDC"/>
    <w:rsid w:val="0054046B"/>
    <w:rsid w:val="005744C9"/>
    <w:rsid w:val="00583F98"/>
    <w:rsid w:val="005914F1"/>
    <w:rsid w:val="005B126B"/>
    <w:rsid w:val="005B6987"/>
    <w:rsid w:val="005E3FCF"/>
    <w:rsid w:val="00607CB0"/>
    <w:rsid w:val="0061654D"/>
    <w:rsid w:val="00624CF6"/>
    <w:rsid w:val="00642F22"/>
    <w:rsid w:val="0066403A"/>
    <w:rsid w:val="006659F1"/>
    <w:rsid w:val="00666893"/>
    <w:rsid w:val="00667319"/>
    <w:rsid w:val="00675BC6"/>
    <w:rsid w:val="006776BB"/>
    <w:rsid w:val="006837DE"/>
    <w:rsid w:val="006A1819"/>
    <w:rsid w:val="006B17E1"/>
    <w:rsid w:val="006D4034"/>
    <w:rsid w:val="006E0D47"/>
    <w:rsid w:val="006F3732"/>
    <w:rsid w:val="00701193"/>
    <w:rsid w:val="007164A1"/>
    <w:rsid w:val="00722EC8"/>
    <w:rsid w:val="00735B38"/>
    <w:rsid w:val="00742B6F"/>
    <w:rsid w:val="00772101"/>
    <w:rsid w:val="00773F91"/>
    <w:rsid w:val="00775247"/>
    <w:rsid w:val="00786081"/>
    <w:rsid w:val="007A0585"/>
    <w:rsid w:val="007B1CD1"/>
    <w:rsid w:val="007B3618"/>
    <w:rsid w:val="007E17D8"/>
    <w:rsid w:val="007F2C36"/>
    <w:rsid w:val="007F579B"/>
    <w:rsid w:val="00810067"/>
    <w:rsid w:val="00833B3E"/>
    <w:rsid w:val="00847E6A"/>
    <w:rsid w:val="008510EE"/>
    <w:rsid w:val="008552E9"/>
    <w:rsid w:val="00855C0B"/>
    <w:rsid w:val="00880A28"/>
    <w:rsid w:val="00894A26"/>
    <w:rsid w:val="008A0A07"/>
    <w:rsid w:val="008B3361"/>
    <w:rsid w:val="008C1B3E"/>
    <w:rsid w:val="008C3015"/>
    <w:rsid w:val="008C78BA"/>
    <w:rsid w:val="008E49F3"/>
    <w:rsid w:val="00901CD4"/>
    <w:rsid w:val="009170B1"/>
    <w:rsid w:val="00924DD7"/>
    <w:rsid w:val="00927E6D"/>
    <w:rsid w:val="00936ED5"/>
    <w:rsid w:val="0097044C"/>
    <w:rsid w:val="0098086D"/>
    <w:rsid w:val="00984F6E"/>
    <w:rsid w:val="00991488"/>
    <w:rsid w:val="009C7D8C"/>
    <w:rsid w:val="009D2F3D"/>
    <w:rsid w:val="009F0AE7"/>
    <w:rsid w:val="009F13BD"/>
    <w:rsid w:val="00A1091A"/>
    <w:rsid w:val="00A16C3A"/>
    <w:rsid w:val="00A2375F"/>
    <w:rsid w:val="00A25966"/>
    <w:rsid w:val="00A3595D"/>
    <w:rsid w:val="00A472ED"/>
    <w:rsid w:val="00A66E34"/>
    <w:rsid w:val="00A72743"/>
    <w:rsid w:val="00A87C35"/>
    <w:rsid w:val="00A97EE8"/>
    <w:rsid w:val="00AA2A3E"/>
    <w:rsid w:val="00AA40DC"/>
    <w:rsid w:val="00AE6C50"/>
    <w:rsid w:val="00B00611"/>
    <w:rsid w:val="00B03B9C"/>
    <w:rsid w:val="00B20A7C"/>
    <w:rsid w:val="00B41C01"/>
    <w:rsid w:val="00B53899"/>
    <w:rsid w:val="00B67F37"/>
    <w:rsid w:val="00B82F55"/>
    <w:rsid w:val="00B846A6"/>
    <w:rsid w:val="00B86620"/>
    <w:rsid w:val="00B96758"/>
    <w:rsid w:val="00BA315D"/>
    <w:rsid w:val="00BB19EE"/>
    <w:rsid w:val="00BC29D1"/>
    <w:rsid w:val="00BC58B3"/>
    <w:rsid w:val="00BC6F3B"/>
    <w:rsid w:val="00BD5933"/>
    <w:rsid w:val="00BF1A22"/>
    <w:rsid w:val="00C01C65"/>
    <w:rsid w:val="00C12207"/>
    <w:rsid w:val="00C14C66"/>
    <w:rsid w:val="00C21EB1"/>
    <w:rsid w:val="00C30633"/>
    <w:rsid w:val="00C510CF"/>
    <w:rsid w:val="00C70161"/>
    <w:rsid w:val="00C94843"/>
    <w:rsid w:val="00C979A6"/>
    <w:rsid w:val="00CA3EA1"/>
    <w:rsid w:val="00D14AF1"/>
    <w:rsid w:val="00D151D4"/>
    <w:rsid w:val="00D61A94"/>
    <w:rsid w:val="00D750C7"/>
    <w:rsid w:val="00D92D31"/>
    <w:rsid w:val="00DA6C35"/>
    <w:rsid w:val="00DA6D73"/>
    <w:rsid w:val="00DF521D"/>
    <w:rsid w:val="00E458D2"/>
    <w:rsid w:val="00E52244"/>
    <w:rsid w:val="00E554DC"/>
    <w:rsid w:val="00E6617B"/>
    <w:rsid w:val="00E839C2"/>
    <w:rsid w:val="00E91742"/>
    <w:rsid w:val="00EA4C50"/>
    <w:rsid w:val="00EB261D"/>
    <w:rsid w:val="00EC155A"/>
    <w:rsid w:val="00EC5985"/>
    <w:rsid w:val="00F04658"/>
    <w:rsid w:val="00F23A2D"/>
    <w:rsid w:val="00F35C19"/>
    <w:rsid w:val="00F649E2"/>
    <w:rsid w:val="00F660EC"/>
    <w:rsid w:val="00F73248"/>
    <w:rsid w:val="00F834EE"/>
    <w:rsid w:val="00F96390"/>
    <w:rsid w:val="00FC197E"/>
    <w:rsid w:val="00FC320F"/>
    <w:rsid w:val="00FE5023"/>
    <w:rsid w:val="00FE79E9"/>
    <w:rsid w:val="00FF1B17"/>
    <w:rsid w:val="00FF32B5"/>
    <w:rsid w:val="00FF6DFB"/>
    <w:rsid w:val="00FF748C"/>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6BB"/>
    <w:rPr>
      <w:sz w:val="20"/>
    </w:rPr>
  </w:style>
  <w:style w:type="paragraph" w:styleId="Heading1">
    <w:name w:val="heading 1"/>
    <w:basedOn w:val="Normal"/>
    <w:next w:val="Normal"/>
    <w:link w:val="Heading1Char"/>
    <w:uiPriority w:val="9"/>
    <w:qFormat/>
    <w:rsid w:val="00A3595D"/>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A3595D"/>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A3595D"/>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A3595D"/>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A3595D"/>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A3595D"/>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A3595D"/>
    <w:pPr>
      <w:spacing w:after="0"/>
      <w:outlineLvl w:val="6"/>
    </w:pPr>
    <w:rPr>
      <w:b/>
      <w:bCs/>
      <w:i/>
      <w:iCs/>
      <w:color w:val="5A5A5A" w:themeColor="text1" w:themeTint="A5"/>
      <w:szCs w:val="20"/>
    </w:rPr>
  </w:style>
  <w:style w:type="paragraph" w:styleId="Heading8">
    <w:name w:val="heading 8"/>
    <w:basedOn w:val="Normal"/>
    <w:next w:val="Normal"/>
    <w:link w:val="Heading8Char"/>
    <w:uiPriority w:val="9"/>
    <w:semiHidden/>
    <w:unhideWhenUsed/>
    <w:qFormat/>
    <w:rsid w:val="00A3595D"/>
    <w:pPr>
      <w:spacing w:after="0"/>
      <w:outlineLvl w:val="7"/>
    </w:pPr>
    <w:rPr>
      <w:b/>
      <w:bCs/>
      <w:color w:val="7F7F7F" w:themeColor="text1" w:themeTint="80"/>
      <w:szCs w:val="20"/>
    </w:rPr>
  </w:style>
  <w:style w:type="paragraph" w:styleId="Heading9">
    <w:name w:val="heading 9"/>
    <w:basedOn w:val="Normal"/>
    <w:next w:val="Normal"/>
    <w:link w:val="Heading9Char"/>
    <w:uiPriority w:val="9"/>
    <w:semiHidden/>
    <w:unhideWhenUsed/>
    <w:qFormat/>
    <w:rsid w:val="00A3595D"/>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595D"/>
    <w:pPr>
      <w:ind w:left="720"/>
      <w:contextualSpacing/>
    </w:pPr>
  </w:style>
  <w:style w:type="character" w:styleId="CommentReference">
    <w:name w:val="annotation reference"/>
    <w:basedOn w:val="DefaultParagraphFont"/>
    <w:uiPriority w:val="99"/>
    <w:semiHidden/>
    <w:unhideWhenUsed/>
    <w:rsid w:val="00642F22"/>
    <w:rPr>
      <w:sz w:val="16"/>
      <w:szCs w:val="16"/>
    </w:rPr>
  </w:style>
  <w:style w:type="paragraph" w:styleId="CommentText">
    <w:name w:val="annotation text"/>
    <w:basedOn w:val="Normal"/>
    <w:link w:val="CommentTextChar"/>
    <w:uiPriority w:val="99"/>
    <w:semiHidden/>
    <w:unhideWhenUsed/>
    <w:rsid w:val="00642F22"/>
    <w:pPr>
      <w:spacing w:line="240" w:lineRule="auto"/>
    </w:pPr>
    <w:rPr>
      <w:szCs w:val="20"/>
    </w:rPr>
  </w:style>
  <w:style w:type="character" w:customStyle="1" w:styleId="CommentTextChar">
    <w:name w:val="Comment Text Char"/>
    <w:basedOn w:val="DefaultParagraphFont"/>
    <w:link w:val="CommentText"/>
    <w:uiPriority w:val="99"/>
    <w:semiHidden/>
    <w:rsid w:val="00642F22"/>
    <w:rPr>
      <w:sz w:val="20"/>
      <w:szCs w:val="20"/>
    </w:rPr>
  </w:style>
  <w:style w:type="paragraph" w:styleId="CommentSubject">
    <w:name w:val="annotation subject"/>
    <w:basedOn w:val="CommentText"/>
    <w:next w:val="CommentText"/>
    <w:link w:val="CommentSubjectChar"/>
    <w:uiPriority w:val="99"/>
    <w:semiHidden/>
    <w:unhideWhenUsed/>
    <w:rsid w:val="00642F22"/>
    <w:rPr>
      <w:b/>
      <w:bCs/>
    </w:rPr>
  </w:style>
  <w:style w:type="character" w:customStyle="1" w:styleId="CommentSubjectChar">
    <w:name w:val="Comment Subject Char"/>
    <w:basedOn w:val="CommentTextChar"/>
    <w:link w:val="CommentSubject"/>
    <w:uiPriority w:val="99"/>
    <w:semiHidden/>
    <w:rsid w:val="00642F22"/>
    <w:rPr>
      <w:b/>
      <w:bCs/>
      <w:sz w:val="20"/>
      <w:szCs w:val="20"/>
    </w:rPr>
  </w:style>
  <w:style w:type="paragraph" w:styleId="BalloonText">
    <w:name w:val="Balloon Text"/>
    <w:basedOn w:val="Normal"/>
    <w:link w:val="BalloonTextChar"/>
    <w:uiPriority w:val="99"/>
    <w:semiHidden/>
    <w:unhideWhenUsed/>
    <w:rsid w:val="00642F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F22"/>
    <w:rPr>
      <w:rFonts w:ascii="Tahoma" w:hAnsi="Tahoma" w:cs="Tahoma"/>
      <w:sz w:val="16"/>
      <w:szCs w:val="16"/>
    </w:rPr>
  </w:style>
  <w:style w:type="character" w:customStyle="1" w:styleId="Heading1Char">
    <w:name w:val="Heading 1 Char"/>
    <w:basedOn w:val="DefaultParagraphFont"/>
    <w:link w:val="Heading1"/>
    <w:uiPriority w:val="9"/>
    <w:rsid w:val="00A3595D"/>
    <w:rPr>
      <w:smallCaps/>
      <w:spacing w:val="5"/>
      <w:sz w:val="36"/>
      <w:szCs w:val="36"/>
    </w:rPr>
  </w:style>
  <w:style w:type="character" w:customStyle="1" w:styleId="Heading2Char">
    <w:name w:val="Heading 2 Char"/>
    <w:basedOn w:val="DefaultParagraphFont"/>
    <w:link w:val="Heading2"/>
    <w:uiPriority w:val="9"/>
    <w:rsid w:val="00A3595D"/>
    <w:rPr>
      <w:smallCaps/>
      <w:sz w:val="28"/>
      <w:szCs w:val="28"/>
    </w:rPr>
  </w:style>
  <w:style w:type="character" w:customStyle="1" w:styleId="Heading3Char">
    <w:name w:val="Heading 3 Char"/>
    <w:basedOn w:val="DefaultParagraphFont"/>
    <w:link w:val="Heading3"/>
    <w:uiPriority w:val="9"/>
    <w:rsid w:val="00A3595D"/>
    <w:rPr>
      <w:i/>
      <w:iCs/>
      <w:smallCaps/>
      <w:spacing w:val="5"/>
      <w:sz w:val="26"/>
      <w:szCs w:val="26"/>
    </w:rPr>
  </w:style>
  <w:style w:type="character" w:customStyle="1" w:styleId="Heading4Char">
    <w:name w:val="Heading 4 Char"/>
    <w:basedOn w:val="DefaultParagraphFont"/>
    <w:link w:val="Heading4"/>
    <w:uiPriority w:val="9"/>
    <w:semiHidden/>
    <w:rsid w:val="00A3595D"/>
    <w:rPr>
      <w:b/>
      <w:bCs/>
      <w:spacing w:val="5"/>
      <w:sz w:val="24"/>
      <w:szCs w:val="24"/>
    </w:rPr>
  </w:style>
  <w:style w:type="character" w:customStyle="1" w:styleId="Heading5Char">
    <w:name w:val="Heading 5 Char"/>
    <w:basedOn w:val="DefaultParagraphFont"/>
    <w:link w:val="Heading5"/>
    <w:uiPriority w:val="9"/>
    <w:semiHidden/>
    <w:rsid w:val="00A3595D"/>
    <w:rPr>
      <w:i/>
      <w:iCs/>
      <w:sz w:val="24"/>
      <w:szCs w:val="24"/>
    </w:rPr>
  </w:style>
  <w:style w:type="character" w:customStyle="1" w:styleId="Heading6Char">
    <w:name w:val="Heading 6 Char"/>
    <w:basedOn w:val="DefaultParagraphFont"/>
    <w:link w:val="Heading6"/>
    <w:uiPriority w:val="9"/>
    <w:semiHidden/>
    <w:rsid w:val="00A3595D"/>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A3595D"/>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A3595D"/>
    <w:rPr>
      <w:b/>
      <w:bCs/>
      <w:color w:val="7F7F7F" w:themeColor="text1" w:themeTint="80"/>
      <w:sz w:val="20"/>
      <w:szCs w:val="20"/>
    </w:rPr>
  </w:style>
  <w:style w:type="character" w:customStyle="1" w:styleId="Heading9Char">
    <w:name w:val="Heading 9 Char"/>
    <w:basedOn w:val="DefaultParagraphFont"/>
    <w:link w:val="Heading9"/>
    <w:uiPriority w:val="9"/>
    <w:semiHidden/>
    <w:rsid w:val="00A3595D"/>
    <w:rPr>
      <w:b/>
      <w:bCs/>
      <w:i/>
      <w:iCs/>
      <w:color w:val="7F7F7F" w:themeColor="text1" w:themeTint="80"/>
      <w:sz w:val="18"/>
      <w:szCs w:val="18"/>
    </w:rPr>
  </w:style>
  <w:style w:type="paragraph" w:styleId="Caption">
    <w:name w:val="caption"/>
    <w:basedOn w:val="Normal"/>
    <w:next w:val="Normal"/>
    <w:uiPriority w:val="35"/>
    <w:semiHidden/>
    <w:unhideWhenUsed/>
    <w:rsid w:val="00A3595D"/>
    <w:rPr>
      <w:b/>
      <w:bCs/>
      <w:color w:val="365F91" w:themeColor="accent1" w:themeShade="BF"/>
      <w:sz w:val="16"/>
      <w:szCs w:val="16"/>
    </w:rPr>
  </w:style>
  <w:style w:type="paragraph" w:styleId="Title">
    <w:name w:val="Title"/>
    <w:basedOn w:val="Normal"/>
    <w:next w:val="Normal"/>
    <w:link w:val="TitleChar"/>
    <w:uiPriority w:val="10"/>
    <w:qFormat/>
    <w:rsid w:val="00A3595D"/>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A3595D"/>
    <w:rPr>
      <w:smallCaps/>
      <w:sz w:val="52"/>
      <w:szCs w:val="52"/>
    </w:rPr>
  </w:style>
  <w:style w:type="paragraph" w:styleId="Subtitle">
    <w:name w:val="Subtitle"/>
    <w:basedOn w:val="Normal"/>
    <w:next w:val="Normal"/>
    <w:link w:val="SubtitleChar"/>
    <w:uiPriority w:val="11"/>
    <w:qFormat/>
    <w:rsid w:val="00A3595D"/>
    <w:rPr>
      <w:i/>
      <w:iCs/>
      <w:smallCaps/>
      <w:spacing w:val="10"/>
      <w:sz w:val="28"/>
      <w:szCs w:val="28"/>
    </w:rPr>
  </w:style>
  <w:style w:type="character" w:customStyle="1" w:styleId="SubtitleChar">
    <w:name w:val="Subtitle Char"/>
    <w:basedOn w:val="DefaultParagraphFont"/>
    <w:link w:val="Subtitle"/>
    <w:uiPriority w:val="11"/>
    <w:rsid w:val="00A3595D"/>
    <w:rPr>
      <w:i/>
      <w:iCs/>
      <w:smallCaps/>
      <w:spacing w:val="10"/>
      <w:sz w:val="28"/>
      <w:szCs w:val="28"/>
    </w:rPr>
  </w:style>
  <w:style w:type="character" w:styleId="Strong">
    <w:name w:val="Strong"/>
    <w:uiPriority w:val="22"/>
    <w:qFormat/>
    <w:rsid w:val="00A3595D"/>
    <w:rPr>
      <w:b/>
      <w:bCs/>
    </w:rPr>
  </w:style>
  <w:style w:type="character" w:styleId="Emphasis">
    <w:name w:val="Emphasis"/>
    <w:uiPriority w:val="20"/>
    <w:qFormat/>
    <w:rsid w:val="00A3595D"/>
    <w:rPr>
      <w:b/>
      <w:bCs/>
      <w:i/>
      <w:iCs/>
      <w:spacing w:val="10"/>
    </w:rPr>
  </w:style>
  <w:style w:type="paragraph" w:styleId="NoSpacing">
    <w:name w:val="No Spacing"/>
    <w:basedOn w:val="Normal"/>
    <w:link w:val="NoSpacingChar"/>
    <w:uiPriority w:val="1"/>
    <w:qFormat/>
    <w:rsid w:val="00A3595D"/>
    <w:pPr>
      <w:spacing w:after="0" w:line="240" w:lineRule="auto"/>
    </w:pPr>
  </w:style>
  <w:style w:type="paragraph" w:styleId="Quote">
    <w:name w:val="Quote"/>
    <w:basedOn w:val="Normal"/>
    <w:next w:val="Normal"/>
    <w:link w:val="QuoteChar"/>
    <w:uiPriority w:val="29"/>
    <w:qFormat/>
    <w:rsid w:val="00A3595D"/>
    <w:rPr>
      <w:i/>
      <w:iCs/>
    </w:rPr>
  </w:style>
  <w:style w:type="character" w:customStyle="1" w:styleId="QuoteChar">
    <w:name w:val="Quote Char"/>
    <w:basedOn w:val="DefaultParagraphFont"/>
    <w:link w:val="Quote"/>
    <w:uiPriority w:val="29"/>
    <w:rsid w:val="00A3595D"/>
    <w:rPr>
      <w:i/>
      <w:iCs/>
    </w:rPr>
  </w:style>
  <w:style w:type="paragraph" w:styleId="IntenseQuote">
    <w:name w:val="Intense Quote"/>
    <w:basedOn w:val="Normal"/>
    <w:next w:val="Normal"/>
    <w:link w:val="IntenseQuoteChar"/>
    <w:uiPriority w:val="30"/>
    <w:qFormat/>
    <w:rsid w:val="00A359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A3595D"/>
    <w:rPr>
      <w:i/>
      <w:iCs/>
    </w:rPr>
  </w:style>
  <w:style w:type="character" w:styleId="SubtleEmphasis">
    <w:name w:val="Subtle Emphasis"/>
    <w:uiPriority w:val="19"/>
    <w:qFormat/>
    <w:rsid w:val="00A3595D"/>
    <w:rPr>
      <w:i/>
      <w:iCs/>
    </w:rPr>
  </w:style>
  <w:style w:type="character" w:styleId="IntenseEmphasis">
    <w:name w:val="Intense Emphasis"/>
    <w:uiPriority w:val="21"/>
    <w:qFormat/>
    <w:rsid w:val="00A3595D"/>
    <w:rPr>
      <w:b/>
      <w:bCs/>
      <w:i/>
      <w:iCs/>
    </w:rPr>
  </w:style>
  <w:style w:type="character" w:styleId="SubtleReference">
    <w:name w:val="Subtle Reference"/>
    <w:basedOn w:val="DefaultParagraphFont"/>
    <w:uiPriority w:val="31"/>
    <w:qFormat/>
    <w:rsid w:val="00A3595D"/>
    <w:rPr>
      <w:smallCaps/>
    </w:rPr>
  </w:style>
  <w:style w:type="character" w:styleId="IntenseReference">
    <w:name w:val="Intense Reference"/>
    <w:uiPriority w:val="32"/>
    <w:qFormat/>
    <w:rsid w:val="00A3595D"/>
    <w:rPr>
      <w:b/>
      <w:bCs/>
      <w:smallCaps/>
    </w:rPr>
  </w:style>
  <w:style w:type="character" w:styleId="BookTitle">
    <w:name w:val="Book Title"/>
    <w:basedOn w:val="DefaultParagraphFont"/>
    <w:uiPriority w:val="33"/>
    <w:qFormat/>
    <w:rsid w:val="00A3595D"/>
    <w:rPr>
      <w:i/>
      <w:iCs/>
      <w:smallCaps/>
      <w:spacing w:val="5"/>
    </w:rPr>
  </w:style>
  <w:style w:type="paragraph" w:styleId="TOCHeading">
    <w:name w:val="TOC Heading"/>
    <w:basedOn w:val="Heading1"/>
    <w:next w:val="Normal"/>
    <w:uiPriority w:val="39"/>
    <w:semiHidden/>
    <w:unhideWhenUsed/>
    <w:qFormat/>
    <w:rsid w:val="00A3595D"/>
    <w:pPr>
      <w:outlineLvl w:val="9"/>
    </w:pPr>
    <w:rPr>
      <w:lang w:bidi="en-US"/>
    </w:rPr>
  </w:style>
  <w:style w:type="character" w:customStyle="1" w:styleId="NoSpacingChar">
    <w:name w:val="No Spacing Char"/>
    <w:basedOn w:val="DefaultParagraphFont"/>
    <w:link w:val="NoSpacing"/>
    <w:uiPriority w:val="1"/>
    <w:rsid w:val="00A3595D"/>
  </w:style>
  <w:style w:type="paragraph" w:styleId="FootnoteText">
    <w:name w:val="footnote text"/>
    <w:basedOn w:val="Normal"/>
    <w:link w:val="FootnoteTextChar"/>
    <w:uiPriority w:val="99"/>
    <w:semiHidden/>
    <w:unhideWhenUsed/>
    <w:rsid w:val="00B20A7C"/>
    <w:pPr>
      <w:spacing w:after="0" w:line="240" w:lineRule="auto"/>
      <w:jc w:val="both"/>
    </w:pPr>
    <w:rPr>
      <w:rFonts w:asciiTheme="minorHAnsi" w:eastAsiaTheme="minorEastAsia" w:hAnsiTheme="minorHAnsi" w:cstheme="minorBidi"/>
      <w:szCs w:val="20"/>
    </w:rPr>
  </w:style>
  <w:style w:type="character" w:customStyle="1" w:styleId="FootnoteTextChar">
    <w:name w:val="Footnote Text Char"/>
    <w:basedOn w:val="DefaultParagraphFont"/>
    <w:link w:val="FootnoteText"/>
    <w:uiPriority w:val="99"/>
    <w:semiHidden/>
    <w:rsid w:val="00B20A7C"/>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B20A7C"/>
    <w:rPr>
      <w:vertAlign w:val="superscript"/>
    </w:rPr>
  </w:style>
  <w:style w:type="character" w:styleId="Hyperlink">
    <w:name w:val="Hyperlink"/>
    <w:basedOn w:val="DefaultParagraphFont"/>
    <w:uiPriority w:val="99"/>
    <w:unhideWhenUsed/>
    <w:rsid w:val="00B20A7C"/>
    <w:rPr>
      <w:color w:val="0000FF" w:themeColor="hyperlink"/>
      <w:u w:val="single"/>
    </w:rPr>
  </w:style>
  <w:style w:type="character" w:styleId="FollowedHyperlink">
    <w:name w:val="FollowedHyperlink"/>
    <w:basedOn w:val="DefaultParagraphFont"/>
    <w:uiPriority w:val="99"/>
    <w:semiHidden/>
    <w:unhideWhenUsed/>
    <w:rsid w:val="00B20A7C"/>
    <w:rPr>
      <w:color w:val="800080" w:themeColor="followedHyperlink"/>
      <w:u w:val="single"/>
    </w:rPr>
  </w:style>
  <w:style w:type="paragraph" w:styleId="Header">
    <w:name w:val="header"/>
    <w:basedOn w:val="Normal"/>
    <w:link w:val="HeaderChar"/>
    <w:uiPriority w:val="99"/>
    <w:unhideWhenUsed/>
    <w:rsid w:val="003333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33F0"/>
  </w:style>
  <w:style w:type="paragraph" w:styleId="Footer">
    <w:name w:val="footer"/>
    <w:basedOn w:val="Normal"/>
    <w:link w:val="FooterChar"/>
    <w:uiPriority w:val="99"/>
    <w:unhideWhenUsed/>
    <w:rsid w:val="003333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33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6BB"/>
    <w:rPr>
      <w:sz w:val="20"/>
    </w:rPr>
  </w:style>
  <w:style w:type="paragraph" w:styleId="Heading1">
    <w:name w:val="heading 1"/>
    <w:basedOn w:val="Normal"/>
    <w:next w:val="Normal"/>
    <w:link w:val="Heading1Char"/>
    <w:uiPriority w:val="9"/>
    <w:qFormat/>
    <w:rsid w:val="00A3595D"/>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A3595D"/>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A3595D"/>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A3595D"/>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A3595D"/>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A3595D"/>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A3595D"/>
    <w:pPr>
      <w:spacing w:after="0"/>
      <w:outlineLvl w:val="6"/>
    </w:pPr>
    <w:rPr>
      <w:b/>
      <w:bCs/>
      <w:i/>
      <w:iCs/>
      <w:color w:val="5A5A5A" w:themeColor="text1" w:themeTint="A5"/>
      <w:szCs w:val="20"/>
    </w:rPr>
  </w:style>
  <w:style w:type="paragraph" w:styleId="Heading8">
    <w:name w:val="heading 8"/>
    <w:basedOn w:val="Normal"/>
    <w:next w:val="Normal"/>
    <w:link w:val="Heading8Char"/>
    <w:uiPriority w:val="9"/>
    <w:semiHidden/>
    <w:unhideWhenUsed/>
    <w:qFormat/>
    <w:rsid w:val="00A3595D"/>
    <w:pPr>
      <w:spacing w:after="0"/>
      <w:outlineLvl w:val="7"/>
    </w:pPr>
    <w:rPr>
      <w:b/>
      <w:bCs/>
      <w:color w:val="7F7F7F" w:themeColor="text1" w:themeTint="80"/>
      <w:szCs w:val="20"/>
    </w:rPr>
  </w:style>
  <w:style w:type="paragraph" w:styleId="Heading9">
    <w:name w:val="heading 9"/>
    <w:basedOn w:val="Normal"/>
    <w:next w:val="Normal"/>
    <w:link w:val="Heading9Char"/>
    <w:uiPriority w:val="9"/>
    <w:semiHidden/>
    <w:unhideWhenUsed/>
    <w:qFormat/>
    <w:rsid w:val="00A3595D"/>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595D"/>
    <w:pPr>
      <w:ind w:left="720"/>
      <w:contextualSpacing/>
    </w:pPr>
  </w:style>
  <w:style w:type="character" w:styleId="CommentReference">
    <w:name w:val="annotation reference"/>
    <w:basedOn w:val="DefaultParagraphFont"/>
    <w:uiPriority w:val="99"/>
    <w:semiHidden/>
    <w:unhideWhenUsed/>
    <w:rsid w:val="00642F22"/>
    <w:rPr>
      <w:sz w:val="16"/>
      <w:szCs w:val="16"/>
    </w:rPr>
  </w:style>
  <w:style w:type="paragraph" w:styleId="CommentText">
    <w:name w:val="annotation text"/>
    <w:basedOn w:val="Normal"/>
    <w:link w:val="CommentTextChar"/>
    <w:uiPriority w:val="99"/>
    <w:semiHidden/>
    <w:unhideWhenUsed/>
    <w:rsid w:val="00642F22"/>
    <w:pPr>
      <w:spacing w:line="240" w:lineRule="auto"/>
    </w:pPr>
    <w:rPr>
      <w:szCs w:val="20"/>
    </w:rPr>
  </w:style>
  <w:style w:type="character" w:customStyle="1" w:styleId="CommentTextChar">
    <w:name w:val="Comment Text Char"/>
    <w:basedOn w:val="DefaultParagraphFont"/>
    <w:link w:val="CommentText"/>
    <w:uiPriority w:val="99"/>
    <w:semiHidden/>
    <w:rsid w:val="00642F22"/>
    <w:rPr>
      <w:sz w:val="20"/>
      <w:szCs w:val="20"/>
    </w:rPr>
  </w:style>
  <w:style w:type="paragraph" w:styleId="CommentSubject">
    <w:name w:val="annotation subject"/>
    <w:basedOn w:val="CommentText"/>
    <w:next w:val="CommentText"/>
    <w:link w:val="CommentSubjectChar"/>
    <w:uiPriority w:val="99"/>
    <w:semiHidden/>
    <w:unhideWhenUsed/>
    <w:rsid w:val="00642F22"/>
    <w:rPr>
      <w:b/>
      <w:bCs/>
    </w:rPr>
  </w:style>
  <w:style w:type="character" w:customStyle="1" w:styleId="CommentSubjectChar">
    <w:name w:val="Comment Subject Char"/>
    <w:basedOn w:val="CommentTextChar"/>
    <w:link w:val="CommentSubject"/>
    <w:uiPriority w:val="99"/>
    <w:semiHidden/>
    <w:rsid w:val="00642F22"/>
    <w:rPr>
      <w:b/>
      <w:bCs/>
      <w:sz w:val="20"/>
      <w:szCs w:val="20"/>
    </w:rPr>
  </w:style>
  <w:style w:type="paragraph" w:styleId="BalloonText">
    <w:name w:val="Balloon Text"/>
    <w:basedOn w:val="Normal"/>
    <w:link w:val="BalloonTextChar"/>
    <w:uiPriority w:val="99"/>
    <w:semiHidden/>
    <w:unhideWhenUsed/>
    <w:rsid w:val="00642F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F22"/>
    <w:rPr>
      <w:rFonts w:ascii="Tahoma" w:hAnsi="Tahoma" w:cs="Tahoma"/>
      <w:sz w:val="16"/>
      <w:szCs w:val="16"/>
    </w:rPr>
  </w:style>
  <w:style w:type="character" w:customStyle="1" w:styleId="Heading1Char">
    <w:name w:val="Heading 1 Char"/>
    <w:basedOn w:val="DefaultParagraphFont"/>
    <w:link w:val="Heading1"/>
    <w:uiPriority w:val="9"/>
    <w:rsid w:val="00A3595D"/>
    <w:rPr>
      <w:smallCaps/>
      <w:spacing w:val="5"/>
      <w:sz w:val="36"/>
      <w:szCs w:val="36"/>
    </w:rPr>
  </w:style>
  <w:style w:type="character" w:customStyle="1" w:styleId="Heading2Char">
    <w:name w:val="Heading 2 Char"/>
    <w:basedOn w:val="DefaultParagraphFont"/>
    <w:link w:val="Heading2"/>
    <w:uiPriority w:val="9"/>
    <w:rsid w:val="00A3595D"/>
    <w:rPr>
      <w:smallCaps/>
      <w:sz w:val="28"/>
      <w:szCs w:val="28"/>
    </w:rPr>
  </w:style>
  <w:style w:type="character" w:customStyle="1" w:styleId="Heading3Char">
    <w:name w:val="Heading 3 Char"/>
    <w:basedOn w:val="DefaultParagraphFont"/>
    <w:link w:val="Heading3"/>
    <w:uiPriority w:val="9"/>
    <w:rsid w:val="00A3595D"/>
    <w:rPr>
      <w:i/>
      <w:iCs/>
      <w:smallCaps/>
      <w:spacing w:val="5"/>
      <w:sz w:val="26"/>
      <w:szCs w:val="26"/>
    </w:rPr>
  </w:style>
  <w:style w:type="character" w:customStyle="1" w:styleId="Heading4Char">
    <w:name w:val="Heading 4 Char"/>
    <w:basedOn w:val="DefaultParagraphFont"/>
    <w:link w:val="Heading4"/>
    <w:uiPriority w:val="9"/>
    <w:semiHidden/>
    <w:rsid w:val="00A3595D"/>
    <w:rPr>
      <w:b/>
      <w:bCs/>
      <w:spacing w:val="5"/>
      <w:sz w:val="24"/>
      <w:szCs w:val="24"/>
    </w:rPr>
  </w:style>
  <w:style w:type="character" w:customStyle="1" w:styleId="Heading5Char">
    <w:name w:val="Heading 5 Char"/>
    <w:basedOn w:val="DefaultParagraphFont"/>
    <w:link w:val="Heading5"/>
    <w:uiPriority w:val="9"/>
    <w:semiHidden/>
    <w:rsid w:val="00A3595D"/>
    <w:rPr>
      <w:i/>
      <w:iCs/>
      <w:sz w:val="24"/>
      <w:szCs w:val="24"/>
    </w:rPr>
  </w:style>
  <w:style w:type="character" w:customStyle="1" w:styleId="Heading6Char">
    <w:name w:val="Heading 6 Char"/>
    <w:basedOn w:val="DefaultParagraphFont"/>
    <w:link w:val="Heading6"/>
    <w:uiPriority w:val="9"/>
    <w:semiHidden/>
    <w:rsid w:val="00A3595D"/>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A3595D"/>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A3595D"/>
    <w:rPr>
      <w:b/>
      <w:bCs/>
      <w:color w:val="7F7F7F" w:themeColor="text1" w:themeTint="80"/>
      <w:sz w:val="20"/>
      <w:szCs w:val="20"/>
    </w:rPr>
  </w:style>
  <w:style w:type="character" w:customStyle="1" w:styleId="Heading9Char">
    <w:name w:val="Heading 9 Char"/>
    <w:basedOn w:val="DefaultParagraphFont"/>
    <w:link w:val="Heading9"/>
    <w:uiPriority w:val="9"/>
    <w:semiHidden/>
    <w:rsid w:val="00A3595D"/>
    <w:rPr>
      <w:b/>
      <w:bCs/>
      <w:i/>
      <w:iCs/>
      <w:color w:val="7F7F7F" w:themeColor="text1" w:themeTint="80"/>
      <w:sz w:val="18"/>
      <w:szCs w:val="18"/>
    </w:rPr>
  </w:style>
  <w:style w:type="paragraph" w:styleId="Caption">
    <w:name w:val="caption"/>
    <w:basedOn w:val="Normal"/>
    <w:next w:val="Normal"/>
    <w:uiPriority w:val="35"/>
    <w:semiHidden/>
    <w:unhideWhenUsed/>
    <w:rsid w:val="00A3595D"/>
    <w:rPr>
      <w:b/>
      <w:bCs/>
      <w:color w:val="365F91" w:themeColor="accent1" w:themeShade="BF"/>
      <w:sz w:val="16"/>
      <w:szCs w:val="16"/>
    </w:rPr>
  </w:style>
  <w:style w:type="paragraph" w:styleId="Title">
    <w:name w:val="Title"/>
    <w:basedOn w:val="Normal"/>
    <w:next w:val="Normal"/>
    <w:link w:val="TitleChar"/>
    <w:uiPriority w:val="10"/>
    <w:qFormat/>
    <w:rsid w:val="00A3595D"/>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A3595D"/>
    <w:rPr>
      <w:smallCaps/>
      <w:sz w:val="52"/>
      <w:szCs w:val="52"/>
    </w:rPr>
  </w:style>
  <w:style w:type="paragraph" w:styleId="Subtitle">
    <w:name w:val="Subtitle"/>
    <w:basedOn w:val="Normal"/>
    <w:next w:val="Normal"/>
    <w:link w:val="SubtitleChar"/>
    <w:uiPriority w:val="11"/>
    <w:qFormat/>
    <w:rsid w:val="00A3595D"/>
    <w:rPr>
      <w:i/>
      <w:iCs/>
      <w:smallCaps/>
      <w:spacing w:val="10"/>
      <w:sz w:val="28"/>
      <w:szCs w:val="28"/>
    </w:rPr>
  </w:style>
  <w:style w:type="character" w:customStyle="1" w:styleId="SubtitleChar">
    <w:name w:val="Subtitle Char"/>
    <w:basedOn w:val="DefaultParagraphFont"/>
    <w:link w:val="Subtitle"/>
    <w:uiPriority w:val="11"/>
    <w:rsid w:val="00A3595D"/>
    <w:rPr>
      <w:i/>
      <w:iCs/>
      <w:smallCaps/>
      <w:spacing w:val="10"/>
      <w:sz w:val="28"/>
      <w:szCs w:val="28"/>
    </w:rPr>
  </w:style>
  <w:style w:type="character" w:styleId="Strong">
    <w:name w:val="Strong"/>
    <w:uiPriority w:val="22"/>
    <w:qFormat/>
    <w:rsid w:val="00A3595D"/>
    <w:rPr>
      <w:b/>
      <w:bCs/>
    </w:rPr>
  </w:style>
  <w:style w:type="character" w:styleId="Emphasis">
    <w:name w:val="Emphasis"/>
    <w:uiPriority w:val="20"/>
    <w:qFormat/>
    <w:rsid w:val="00A3595D"/>
    <w:rPr>
      <w:b/>
      <w:bCs/>
      <w:i/>
      <w:iCs/>
      <w:spacing w:val="10"/>
    </w:rPr>
  </w:style>
  <w:style w:type="paragraph" w:styleId="NoSpacing">
    <w:name w:val="No Spacing"/>
    <w:basedOn w:val="Normal"/>
    <w:link w:val="NoSpacingChar"/>
    <w:uiPriority w:val="1"/>
    <w:qFormat/>
    <w:rsid w:val="00A3595D"/>
    <w:pPr>
      <w:spacing w:after="0" w:line="240" w:lineRule="auto"/>
    </w:pPr>
  </w:style>
  <w:style w:type="paragraph" w:styleId="Quote">
    <w:name w:val="Quote"/>
    <w:basedOn w:val="Normal"/>
    <w:next w:val="Normal"/>
    <w:link w:val="QuoteChar"/>
    <w:uiPriority w:val="29"/>
    <w:qFormat/>
    <w:rsid w:val="00A3595D"/>
    <w:rPr>
      <w:i/>
      <w:iCs/>
    </w:rPr>
  </w:style>
  <w:style w:type="character" w:customStyle="1" w:styleId="QuoteChar">
    <w:name w:val="Quote Char"/>
    <w:basedOn w:val="DefaultParagraphFont"/>
    <w:link w:val="Quote"/>
    <w:uiPriority w:val="29"/>
    <w:rsid w:val="00A3595D"/>
    <w:rPr>
      <w:i/>
      <w:iCs/>
    </w:rPr>
  </w:style>
  <w:style w:type="paragraph" w:styleId="IntenseQuote">
    <w:name w:val="Intense Quote"/>
    <w:basedOn w:val="Normal"/>
    <w:next w:val="Normal"/>
    <w:link w:val="IntenseQuoteChar"/>
    <w:uiPriority w:val="30"/>
    <w:qFormat/>
    <w:rsid w:val="00A359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A3595D"/>
    <w:rPr>
      <w:i/>
      <w:iCs/>
    </w:rPr>
  </w:style>
  <w:style w:type="character" w:styleId="SubtleEmphasis">
    <w:name w:val="Subtle Emphasis"/>
    <w:uiPriority w:val="19"/>
    <w:qFormat/>
    <w:rsid w:val="00A3595D"/>
    <w:rPr>
      <w:i/>
      <w:iCs/>
    </w:rPr>
  </w:style>
  <w:style w:type="character" w:styleId="IntenseEmphasis">
    <w:name w:val="Intense Emphasis"/>
    <w:uiPriority w:val="21"/>
    <w:qFormat/>
    <w:rsid w:val="00A3595D"/>
    <w:rPr>
      <w:b/>
      <w:bCs/>
      <w:i/>
      <w:iCs/>
    </w:rPr>
  </w:style>
  <w:style w:type="character" w:styleId="SubtleReference">
    <w:name w:val="Subtle Reference"/>
    <w:basedOn w:val="DefaultParagraphFont"/>
    <w:uiPriority w:val="31"/>
    <w:qFormat/>
    <w:rsid w:val="00A3595D"/>
    <w:rPr>
      <w:smallCaps/>
    </w:rPr>
  </w:style>
  <w:style w:type="character" w:styleId="IntenseReference">
    <w:name w:val="Intense Reference"/>
    <w:uiPriority w:val="32"/>
    <w:qFormat/>
    <w:rsid w:val="00A3595D"/>
    <w:rPr>
      <w:b/>
      <w:bCs/>
      <w:smallCaps/>
    </w:rPr>
  </w:style>
  <w:style w:type="character" w:styleId="BookTitle">
    <w:name w:val="Book Title"/>
    <w:basedOn w:val="DefaultParagraphFont"/>
    <w:uiPriority w:val="33"/>
    <w:qFormat/>
    <w:rsid w:val="00A3595D"/>
    <w:rPr>
      <w:i/>
      <w:iCs/>
      <w:smallCaps/>
      <w:spacing w:val="5"/>
    </w:rPr>
  </w:style>
  <w:style w:type="paragraph" w:styleId="TOCHeading">
    <w:name w:val="TOC Heading"/>
    <w:basedOn w:val="Heading1"/>
    <w:next w:val="Normal"/>
    <w:uiPriority w:val="39"/>
    <w:semiHidden/>
    <w:unhideWhenUsed/>
    <w:qFormat/>
    <w:rsid w:val="00A3595D"/>
    <w:pPr>
      <w:outlineLvl w:val="9"/>
    </w:pPr>
    <w:rPr>
      <w:lang w:bidi="en-US"/>
    </w:rPr>
  </w:style>
  <w:style w:type="character" w:customStyle="1" w:styleId="NoSpacingChar">
    <w:name w:val="No Spacing Char"/>
    <w:basedOn w:val="DefaultParagraphFont"/>
    <w:link w:val="NoSpacing"/>
    <w:uiPriority w:val="1"/>
    <w:rsid w:val="00A3595D"/>
  </w:style>
  <w:style w:type="paragraph" w:styleId="FootnoteText">
    <w:name w:val="footnote text"/>
    <w:basedOn w:val="Normal"/>
    <w:link w:val="FootnoteTextChar"/>
    <w:uiPriority w:val="99"/>
    <w:semiHidden/>
    <w:unhideWhenUsed/>
    <w:rsid w:val="00B20A7C"/>
    <w:pPr>
      <w:spacing w:after="0" w:line="240" w:lineRule="auto"/>
      <w:jc w:val="both"/>
    </w:pPr>
    <w:rPr>
      <w:rFonts w:asciiTheme="minorHAnsi" w:eastAsiaTheme="minorEastAsia" w:hAnsiTheme="minorHAnsi" w:cstheme="minorBidi"/>
      <w:szCs w:val="20"/>
    </w:rPr>
  </w:style>
  <w:style w:type="character" w:customStyle="1" w:styleId="FootnoteTextChar">
    <w:name w:val="Footnote Text Char"/>
    <w:basedOn w:val="DefaultParagraphFont"/>
    <w:link w:val="FootnoteText"/>
    <w:uiPriority w:val="99"/>
    <w:semiHidden/>
    <w:rsid w:val="00B20A7C"/>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B20A7C"/>
    <w:rPr>
      <w:vertAlign w:val="superscript"/>
    </w:rPr>
  </w:style>
  <w:style w:type="character" w:styleId="Hyperlink">
    <w:name w:val="Hyperlink"/>
    <w:basedOn w:val="DefaultParagraphFont"/>
    <w:uiPriority w:val="99"/>
    <w:unhideWhenUsed/>
    <w:rsid w:val="00B20A7C"/>
    <w:rPr>
      <w:color w:val="0000FF" w:themeColor="hyperlink"/>
      <w:u w:val="single"/>
    </w:rPr>
  </w:style>
  <w:style w:type="character" w:styleId="FollowedHyperlink">
    <w:name w:val="FollowedHyperlink"/>
    <w:basedOn w:val="DefaultParagraphFont"/>
    <w:uiPriority w:val="99"/>
    <w:semiHidden/>
    <w:unhideWhenUsed/>
    <w:rsid w:val="00B20A7C"/>
    <w:rPr>
      <w:color w:val="800080" w:themeColor="followedHyperlink"/>
      <w:u w:val="single"/>
    </w:rPr>
  </w:style>
  <w:style w:type="paragraph" w:styleId="Header">
    <w:name w:val="header"/>
    <w:basedOn w:val="Normal"/>
    <w:link w:val="HeaderChar"/>
    <w:uiPriority w:val="99"/>
    <w:unhideWhenUsed/>
    <w:rsid w:val="003333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33F0"/>
  </w:style>
  <w:style w:type="paragraph" w:styleId="Footer">
    <w:name w:val="footer"/>
    <w:basedOn w:val="Normal"/>
    <w:link w:val="FooterChar"/>
    <w:uiPriority w:val="99"/>
    <w:unhideWhenUsed/>
    <w:rsid w:val="003333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3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56896">
      <w:bodyDiv w:val="1"/>
      <w:marLeft w:val="0"/>
      <w:marRight w:val="0"/>
      <w:marTop w:val="0"/>
      <w:marBottom w:val="0"/>
      <w:divBdr>
        <w:top w:val="none" w:sz="0" w:space="0" w:color="auto"/>
        <w:left w:val="none" w:sz="0" w:space="0" w:color="auto"/>
        <w:bottom w:val="none" w:sz="0" w:space="0" w:color="auto"/>
        <w:right w:val="none" w:sz="0" w:space="0" w:color="auto"/>
      </w:divBdr>
    </w:div>
    <w:div w:id="415634590">
      <w:bodyDiv w:val="1"/>
      <w:marLeft w:val="0"/>
      <w:marRight w:val="0"/>
      <w:marTop w:val="0"/>
      <w:marBottom w:val="0"/>
      <w:divBdr>
        <w:top w:val="none" w:sz="0" w:space="0" w:color="auto"/>
        <w:left w:val="none" w:sz="0" w:space="0" w:color="auto"/>
        <w:bottom w:val="none" w:sz="0" w:space="0" w:color="auto"/>
        <w:right w:val="none" w:sz="0" w:space="0" w:color="auto"/>
      </w:divBdr>
    </w:div>
    <w:div w:id="1370834192">
      <w:bodyDiv w:val="1"/>
      <w:marLeft w:val="0"/>
      <w:marRight w:val="0"/>
      <w:marTop w:val="0"/>
      <w:marBottom w:val="0"/>
      <w:divBdr>
        <w:top w:val="none" w:sz="0" w:space="0" w:color="auto"/>
        <w:left w:val="none" w:sz="0" w:space="0" w:color="auto"/>
        <w:bottom w:val="none" w:sz="0" w:space="0" w:color="auto"/>
        <w:right w:val="none" w:sz="0" w:space="0" w:color="auto"/>
      </w:divBdr>
    </w:div>
    <w:div w:id="2115401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hyperlink" Target="http://www.mn.uio.no/fysikk/english/research/projects/canorock-step/phd-school/" TargetMode="External"/><Relationship Id="rId26" Type="http://schemas.openxmlformats.org/officeDocument/2006/relationships/hyperlink" Target="http://www.uio.no/studier/utveksling/avtaler/europa/danmark/kobenhavn-it-uni/ifi.html" TargetMode="External"/><Relationship Id="rId3" Type="http://schemas.openxmlformats.org/officeDocument/2006/relationships/styles" Target="styles.xml"/><Relationship Id="rId21" Type="http://schemas.openxmlformats.org/officeDocument/2006/relationships/hyperlink" Target="http://www.siu.no/nor/Globalmeny/Publikasjoner/Alle-publikasjoner/Mobilitetsanalysen-2010-Hvorfor-studere-i-utlandet-Norske-studenters-motivasjoner-og-barrierer-for-aa-ta-et-studieopphold-i-et-annet-land-en-kvantitativ-analyse" TargetMode="Externa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6.xml"/><Relationship Id="rId25" Type="http://schemas.openxmlformats.org/officeDocument/2006/relationships/hyperlink" Target="http://www.uio.no/studier/utveksling/avtaler/asia/japan/uni-oita/hf.html" TargetMode="Externa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hyperlink" Target="http://www.nifu.no/files/2013/04/Evaluering-av-Kvalitetsreformen-Sluttrapport.pdf" TargetMode="External"/><Relationship Id="rId29" Type="http://schemas.openxmlformats.org/officeDocument/2006/relationships/hyperlink" Target="http://www.uio.no/english/studies/programmes/nsa-master/abroa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yperlink" Target="http://www.uio.no/studier/utveksling/avtaler/europa/belgia/uni-gent/matnat.html"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uio.no/for-ansatte/arbeidsstotte/sta/fs/statistikk/bokkula/bokkula.php" TargetMode="External"/><Relationship Id="rId23" Type="http://schemas.openxmlformats.org/officeDocument/2006/relationships/chart" Target="charts/chart8.xml"/><Relationship Id="rId28" Type="http://schemas.openxmlformats.org/officeDocument/2006/relationships/hyperlink" Target="http://www.uio.no/studier/program/biologi/oppbygging/" TargetMode="External"/><Relationship Id="rId10" Type="http://schemas.openxmlformats.org/officeDocument/2006/relationships/hyperlink" Target="http://www.nifu.no/files/2013/04/Evaluering-av-Kvalitetsreformen-Sluttrapport.pdf" TargetMode="External"/><Relationship Id="rId19" Type="http://schemas.openxmlformats.org/officeDocument/2006/relationships/hyperlink" Target="http://www.mn.uio.no/fysikk/english/research/news-and-events/news/2012/student-scholarship-in-nonproliferation-and-disarmament.html"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uio.no/for-ansatte/organisasjon/strategi/internasjonaliseringsaret-2012/internasjonaliseringsaret-handlingsplan.pdf" TargetMode="External"/><Relationship Id="rId14" Type="http://schemas.openxmlformats.org/officeDocument/2006/relationships/chart" Target="charts/chart4.xml"/><Relationship Id="rId22" Type="http://schemas.openxmlformats.org/officeDocument/2006/relationships/chart" Target="charts/chart7.xml"/><Relationship Id="rId27" Type="http://schemas.openxmlformats.org/officeDocument/2006/relationships/hyperlink" Target="http://www.uio.no/studier/program/biologi/utlandet/" TargetMode="External"/><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file:///\\platon\mnfak-felles\faksekr\sekretariatet\studier\internasjonalisering\Arbeidsgruppe%202014\Bakgrunnsinfo\Statistikk%20til%20tabeller.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platon\mnfak-felles\faksekr\sekretariatet\studier\internasjonalisering\Arbeidsgruppe%202014\Bakgrunnsinfo\Statistikk%20til%20tabeller.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platon\mnfak-felles\faksekr\sekretariatet\studier\internasjonalisering\Arbeidsgruppe%202014\Bakgrunnsinfo\Statistikk%20til%20tabeller.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platon\mnfak-felles\faksekr\sekretariatet\studier\internasjonalisering\Arbeidsgruppe%202014\Bakgrunnsinfo\Statistikk%20til%20tabeller.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platon\mnfak-felles\faksekr\sekretariatet\studier\internasjonalisering\Arbeidsgruppe%202014\Bakgrunnsinfo\Statistikk%20til%20tabeller.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platon\mnfak-felles\faksekr\sekretariatet\studier\internasjonalisering\Arbeidsgruppe%202014\Bakgrunnsinfo\Statistikk%20til%20tabeller.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platon\mnfak-felles\faksekr\sekretariatet\studier\internasjonalisering\Arbeidsgruppe%202014\Bakgrunnsinfo\Statistikk%20til%20tabell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'UT utveksling'!$B$1</c:f>
              <c:strCache>
                <c:ptCount val="1"/>
                <c:pt idx="0">
                  <c:v>IBV</c:v>
                </c:pt>
              </c:strCache>
            </c:strRef>
          </c:tx>
          <c:invertIfNegative val="0"/>
          <c:cat>
            <c:numRef>
              <c:f>'UT utveksling'!$A$2:$A$5</c:f>
              <c:numCache>
                <c:formatCode>General</c:formatCode>
                <c:ptCount val="4"/>
                <c:pt idx="0">
                  <c:v>2010</c:v>
                </c:pt>
                <c:pt idx="1">
                  <c:v>2011</c:v>
                </c:pt>
                <c:pt idx="2">
                  <c:v>2012</c:v>
                </c:pt>
                <c:pt idx="3">
                  <c:v>2013</c:v>
                </c:pt>
              </c:numCache>
            </c:numRef>
          </c:cat>
          <c:val>
            <c:numRef>
              <c:f>'UT utveksling'!$B$2:$B$5</c:f>
              <c:numCache>
                <c:formatCode>General</c:formatCode>
                <c:ptCount val="4"/>
                <c:pt idx="0">
                  <c:v>7</c:v>
                </c:pt>
                <c:pt idx="1">
                  <c:v>4</c:v>
                </c:pt>
                <c:pt idx="2">
                  <c:v>10</c:v>
                </c:pt>
                <c:pt idx="3">
                  <c:v>15</c:v>
                </c:pt>
              </c:numCache>
            </c:numRef>
          </c:val>
        </c:ser>
        <c:ser>
          <c:idx val="1"/>
          <c:order val="1"/>
          <c:tx>
            <c:strRef>
              <c:f>'UT utveksling'!$C$1</c:f>
              <c:strCache>
                <c:ptCount val="1"/>
                <c:pt idx="0">
                  <c:v>FAI</c:v>
                </c:pt>
              </c:strCache>
            </c:strRef>
          </c:tx>
          <c:invertIfNegative val="0"/>
          <c:cat>
            <c:numRef>
              <c:f>'UT utveksling'!$A$2:$A$5</c:f>
              <c:numCache>
                <c:formatCode>General</c:formatCode>
                <c:ptCount val="4"/>
                <c:pt idx="0">
                  <c:v>2010</c:v>
                </c:pt>
                <c:pt idx="1">
                  <c:v>2011</c:v>
                </c:pt>
                <c:pt idx="2">
                  <c:v>2012</c:v>
                </c:pt>
                <c:pt idx="3">
                  <c:v>2013</c:v>
                </c:pt>
              </c:numCache>
            </c:numRef>
          </c:cat>
          <c:val>
            <c:numRef>
              <c:f>'UT utveksling'!$C$2:$C$5</c:f>
              <c:numCache>
                <c:formatCode>General</c:formatCode>
                <c:ptCount val="4"/>
                <c:pt idx="0">
                  <c:v>1</c:v>
                </c:pt>
                <c:pt idx="1">
                  <c:v>0</c:v>
                </c:pt>
                <c:pt idx="2">
                  <c:v>2</c:v>
                </c:pt>
                <c:pt idx="3">
                  <c:v>2</c:v>
                </c:pt>
              </c:numCache>
            </c:numRef>
          </c:val>
        </c:ser>
        <c:ser>
          <c:idx val="2"/>
          <c:order val="2"/>
          <c:tx>
            <c:strRef>
              <c:f>'UT utveksling'!$D$1</c:f>
              <c:strCache>
                <c:ptCount val="1"/>
                <c:pt idx="0">
                  <c:v>FYS</c:v>
                </c:pt>
              </c:strCache>
            </c:strRef>
          </c:tx>
          <c:invertIfNegative val="0"/>
          <c:cat>
            <c:numRef>
              <c:f>'UT utveksling'!$A$2:$A$5</c:f>
              <c:numCache>
                <c:formatCode>General</c:formatCode>
                <c:ptCount val="4"/>
                <c:pt idx="0">
                  <c:v>2010</c:v>
                </c:pt>
                <c:pt idx="1">
                  <c:v>2011</c:v>
                </c:pt>
                <c:pt idx="2">
                  <c:v>2012</c:v>
                </c:pt>
                <c:pt idx="3">
                  <c:v>2013</c:v>
                </c:pt>
              </c:numCache>
            </c:numRef>
          </c:cat>
          <c:val>
            <c:numRef>
              <c:f>'UT utveksling'!$D$2:$D$5</c:f>
              <c:numCache>
                <c:formatCode>General</c:formatCode>
                <c:ptCount val="4"/>
                <c:pt idx="0">
                  <c:v>8</c:v>
                </c:pt>
                <c:pt idx="1">
                  <c:v>5</c:v>
                </c:pt>
                <c:pt idx="2">
                  <c:v>3</c:v>
                </c:pt>
                <c:pt idx="3">
                  <c:v>5</c:v>
                </c:pt>
              </c:numCache>
            </c:numRef>
          </c:val>
        </c:ser>
        <c:ser>
          <c:idx val="3"/>
          <c:order val="3"/>
          <c:tx>
            <c:strRef>
              <c:f>'UT utveksling'!$E$1</c:f>
              <c:strCache>
                <c:ptCount val="1"/>
                <c:pt idx="0">
                  <c:v>IFI</c:v>
                </c:pt>
              </c:strCache>
            </c:strRef>
          </c:tx>
          <c:invertIfNegative val="0"/>
          <c:cat>
            <c:numRef>
              <c:f>'UT utveksling'!$A$2:$A$5</c:f>
              <c:numCache>
                <c:formatCode>General</c:formatCode>
                <c:ptCount val="4"/>
                <c:pt idx="0">
                  <c:v>2010</c:v>
                </c:pt>
                <c:pt idx="1">
                  <c:v>2011</c:v>
                </c:pt>
                <c:pt idx="2">
                  <c:v>2012</c:v>
                </c:pt>
                <c:pt idx="3">
                  <c:v>2013</c:v>
                </c:pt>
              </c:numCache>
            </c:numRef>
          </c:cat>
          <c:val>
            <c:numRef>
              <c:f>'UT utveksling'!$E$2:$E$5</c:f>
              <c:numCache>
                <c:formatCode>General</c:formatCode>
                <c:ptCount val="4"/>
                <c:pt idx="0">
                  <c:v>9</c:v>
                </c:pt>
                <c:pt idx="1">
                  <c:v>12</c:v>
                </c:pt>
                <c:pt idx="2">
                  <c:v>15</c:v>
                </c:pt>
                <c:pt idx="3">
                  <c:v>21</c:v>
                </c:pt>
              </c:numCache>
            </c:numRef>
          </c:val>
        </c:ser>
        <c:ser>
          <c:idx val="4"/>
          <c:order val="4"/>
          <c:tx>
            <c:strRef>
              <c:f>'UT utveksling'!$F$1</c:f>
              <c:strCache>
                <c:ptCount val="1"/>
                <c:pt idx="0">
                  <c:v>GEO</c:v>
                </c:pt>
              </c:strCache>
            </c:strRef>
          </c:tx>
          <c:invertIfNegative val="0"/>
          <c:cat>
            <c:numRef>
              <c:f>'UT utveksling'!$A$2:$A$5</c:f>
              <c:numCache>
                <c:formatCode>General</c:formatCode>
                <c:ptCount val="4"/>
                <c:pt idx="0">
                  <c:v>2010</c:v>
                </c:pt>
                <c:pt idx="1">
                  <c:v>2011</c:v>
                </c:pt>
                <c:pt idx="2">
                  <c:v>2012</c:v>
                </c:pt>
                <c:pt idx="3">
                  <c:v>2013</c:v>
                </c:pt>
              </c:numCache>
            </c:numRef>
          </c:cat>
          <c:val>
            <c:numRef>
              <c:f>'UT utveksling'!$F$2:$F$5</c:f>
              <c:numCache>
                <c:formatCode>General</c:formatCode>
                <c:ptCount val="4"/>
                <c:pt idx="0">
                  <c:v>3</c:v>
                </c:pt>
                <c:pt idx="1">
                  <c:v>1</c:v>
                </c:pt>
                <c:pt idx="2">
                  <c:v>9</c:v>
                </c:pt>
                <c:pt idx="3">
                  <c:v>5</c:v>
                </c:pt>
              </c:numCache>
            </c:numRef>
          </c:val>
        </c:ser>
        <c:ser>
          <c:idx val="5"/>
          <c:order val="5"/>
          <c:tx>
            <c:strRef>
              <c:f>'UT utveksling'!$G$1</c:f>
              <c:strCache>
                <c:ptCount val="1"/>
                <c:pt idx="0">
                  <c:v>KJE</c:v>
                </c:pt>
              </c:strCache>
            </c:strRef>
          </c:tx>
          <c:invertIfNegative val="0"/>
          <c:cat>
            <c:numRef>
              <c:f>'UT utveksling'!$A$2:$A$5</c:f>
              <c:numCache>
                <c:formatCode>General</c:formatCode>
                <c:ptCount val="4"/>
                <c:pt idx="0">
                  <c:v>2010</c:v>
                </c:pt>
                <c:pt idx="1">
                  <c:v>2011</c:v>
                </c:pt>
                <c:pt idx="2">
                  <c:v>2012</c:v>
                </c:pt>
                <c:pt idx="3">
                  <c:v>2013</c:v>
                </c:pt>
              </c:numCache>
            </c:numRef>
          </c:cat>
          <c:val>
            <c:numRef>
              <c:f>'UT utveksling'!$G$2:$G$5</c:f>
              <c:numCache>
                <c:formatCode>General</c:formatCode>
                <c:ptCount val="4"/>
                <c:pt idx="0">
                  <c:v>2</c:v>
                </c:pt>
                <c:pt idx="1">
                  <c:v>2</c:v>
                </c:pt>
                <c:pt idx="2">
                  <c:v>4</c:v>
                </c:pt>
                <c:pt idx="3">
                  <c:v>3</c:v>
                </c:pt>
              </c:numCache>
            </c:numRef>
          </c:val>
        </c:ser>
        <c:ser>
          <c:idx val="6"/>
          <c:order val="6"/>
          <c:tx>
            <c:strRef>
              <c:f>'UT utveksling'!$H$1</c:f>
              <c:strCache>
                <c:ptCount val="1"/>
                <c:pt idx="0">
                  <c:v>MAT</c:v>
                </c:pt>
              </c:strCache>
            </c:strRef>
          </c:tx>
          <c:invertIfNegative val="0"/>
          <c:cat>
            <c:numRef>
              <c:f>'UT utveksling'!$A$2:$A$5</c:f>
              <c:numCache>
                <c:formatCode>General</c:formatCode>
                <c:ptCount val="4"/>
                <c:pt idx="0">
                  <c:v>2010</c:v>
                </c:pt>
                <c:pt idx="1">
                  <c:v>2011</c:v>
                </c:pt>
                <c:pt idx="2">
                  <c:v>2012</c:v>
                </c:pt>
                <c:pt idx="3">
                  <c:v>2013</c:v>
                </c:pt>
              </c:numCache>
            </c:numRef>
          </c:cat>
          <c:val>
            <c:numRef>
              <c:f>'UT utveksling'!$H$2:$H$5</c:f>
              <c:numCache>
                <c:formatCode>General</c:formatCode>
                <c:ptCount val="4"/>
                <c:pt idx="0">
                  <c:v>7</c:v>
                </c:pt>
                <c:pt idx="1">
                  <c:v>4</c:v>
                </c:pt>
                <c:pt idx="2">
                  <c:v>7</c:v>
                </c:pt>
                <c:pt idx="3">
                  <c:v>6</c:v>
                </c:pt>
              </c:numCache>
            </c:numRef>
          </c:val>
        </c:ser>
        <c:dLbls>
          <c:showLegendKey val="0"/>
          <c:showVal val="0"/>
          <c:showCatName val="0"/>
          <c:showSerName val="0"/>
          <c:showPercent val="0"/>
          <c:showBubbleSize val="0"/>
        </c:dLbls>
        <c:gapWidth val="150"/>
        <c:shape val="box"/>
        <c:axId val="135277184"/>
        <c:axId val="135283072"/>
        <c:axId val="0"/>
      </c:bar3DChart>
      <c:catAx>
        <c:axId val="135277184"/>
        <c:scaling>
          <c:orientation val="minMax"/>
        </c:scaling>
        <c:delete val="0"/>
        <c:axPos val="b"/>
        <c:numFmt formatCode="General" sourceLinked="1"/>
        <c:majorTickMark val="out"/>
        <c:minorTickMark val="none"/>
        <c:tickLblPos val="nextTo"/>
        <c:crossAx val="135283072"/>
        <c:crosses val="autoZero"/>
        <c:auto val="1"/>
        <c:lblAlgn val="ctr"/>
        <c:lblOffset val="100"/>
        <c:noMultiLvlLbl val="0"/>
      </c:catAx>
      <c:valAx>
        <c:axId val="135283072"/>
        <c:scaling>
          <c:orientation val="minMax"/>
        </c:scaling>
        <c:delete val="0"/>
        <c:axPos val="l"/>
        <c:majorGridlines/>
        <c:numFmt formatCode="General" sourceLinked="1"/>
        <c:majorTickMark val="out"/>
        <c:minorTickMark val="none"/>
        <c:tickLblPos val="nextTo"/>
        <c:crossAx val="13527718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'UT utveksling'!$A$18</c:f>
              <c:strCache>
                <c:ptCount val="1"/>
                <c:pt idx="0">
                  <c:v>SFE</c:v>
                </c:pt>
              </c:strCache>
            </c:strRef>
          </c:tx>
          <c:invertIfNegative val="0"/>
          <c:cat>
            <c:numRef>
              <c:f>'UT utveksling'!$B$17:$E$17</c:f>
              <c:numCache>
                <c:formatCode>General</c:formatCode>
                <c:ptCount val="4"/>
                <c:pt idx="0">
                  <c:v>2010</c:v>
                </c:pt>
                <c:pt idx="1">
                  <c:v>2011</c:v>
                </c:pt>
                <c:pt idx="2">
                  <c:v>2012</c:v>
                </c:pt>
                <c:pt idx="3">
                  <c:v>2013</c:v>
                </c:pt>
              </c:numCache>
            </c:numRef>
          </c:cat>
          <c:val>
            <c:numRef>
              <c:f>'UT utveksling'!$B$18:$E$18</c:f>
              <c:numCache>
                <c:formatCode>General</c:formatCode>
                <c:ptCount val="4"/>
                <c:pt idx="0">
                  <c:v>150</c:v>
                </c:pt>
                <c:pt idx="1">
                  <c:v>115</c:v>
                </c:pt>
                <c:pt idx="2">
                  <c:v>160</c:v>
                </c:pt>
                <c:pt idx="3">
                  <c:v>158</c:v>
                </c:pt>
              </c:numCache>
            </c:numRef>
          </c:val>
        </c:ser>
        <c:dLbls>
          <c:showLegendKey val="0"/>
          <c:showVal val="0"/>
          <c:showCatName val="0"/>
          <c:showSerName val="0"/>
          <c:showPercent val="0"/>
          <c:showBubbleSize val="0"/>
        </c:dLbls>
        <c:gapWidth val="150"/>
        <c:shape val="box"/>
        <c:axId val="133513600"/>
        <c:axId val="133515136"/>
        <c:axId val="0"/>
      </c:bar3DChart>
      <c:catAx>
        <c:axId val="133513600"/>
        <c:scaling>
          <c:orientation val="minMax"/>
        </c:scaling>
        <c:delete val="0"/>
        <c:axPos val="b"/>
        <c:numFmt formatCode="General" sourceLinked="1"/>
        <c:majorTickMark val="out"/>
        <c:minorTickMark val="none"/>
        <c:tickLblPos val="nextTo"/>
        <c:crossAx val="133515136"/>
        <c:crosses val="autoZero"/>
        <c:auto val="1"/>
        <c:lblAlgn val="ctr"/>
        <c:lblOffset val="100"/>
        <c:noMultiLvlLbl val="0"/>
      </c:catAx>
      <c:valAx>
        <c:axId val="133515136"/>
        <c:scaling>
          <c:orientation val="minMax"/>
        </c:scaling>
        <c:delete val="0"/>
        <c:axPos val="l"/>
        <c:majorGridlines/>
        <c:numFmt formatCode="General" sourceLinked="1"/>
        <c:majorTickMark val="out"/>
        <c:minorTickMark val="none"/>
        <c:tickLblPos val="nextTo"/>
        <c:crossAx val="13351360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Alternativ!$A$2</c:f>
              <c:strCache>
                <c:ptCount val="1"/>
                <c:pt idx="0">
                  <c:v>INN</c:v>
                </c:pt>
              </c:strCache>
            </c:strRef>
          </c:tx>
          <c:invertIfNegative val="0"/>
          <c:cat>
            <c:numRef>
              <c:f>Alternativ!$B$1:$I$1</c:f>
              <c:numCache>
                <c:formatCode>General</c:formatCode>
                <c:ptCount val="8"/>
                <c:pt idx="0">
                  <c:v>2006</c:v>
                </c:pt>
                <c:pt idx="1">
                  <c:v>2007</c:v>
                </c:pt>
                <c:pt idx="2">
                  <c:v>2008</c:v>
                </c:pt>
                <c:pt idx="3">
                  <c:v>2009</c:v>
                </c:pt>
                <c:pt idx="4">
                  <c:v>2010</c:v>
                </c:pt>
                <c:pt idx="5">
                  <c:v>2011</c:v>
                </c:pt>
                <c:pt idx="6">
                  <c:v>2012</c:v>
                </c:pt>
                <c:pt idx="7">
                  <c:v>2013</c:v>
                </c:pt>
              </c:numCache>
            </c:numRef>
          </c:cat>
          <c:val>
            <c:numRef>
              <c:f>Alternativ!$B$2:$I$2</c:f>
              <c:numCache>
                <c:formatCode>General</c:formatCode>
                <c:ptCount val="8"/>
                <c:pt idx="0">
                  <c:v>66</c:v>
                </c:pt>
                <c:pt idx="1">
                  <c:v>88</c:v>
                </c:pt>
                <c:pt idx="2">
                  <c:v>97</c:v>
                </c:pt>
                <c:pt idx="3">
                  <c:v>150</c:v>
                </c:pt>
                <c:pt idx="4">
                  <c:v>177</c:v>
                </c:pt>
                <c:pt idx="5">
                  <c:v>179</c:v>
                </c:pt>
                <c:pt idx="6">
                  <c:v>188</c:v>
                </c:pt>
                <c:pt idx="7">
                  <c:v>221</c:v>
                </c:pt>
              </c:numCache>
            </c:numRef>
          </c:val>
        </c:ser>
        <c:ser>
          <c:idx val="1"/>
          <c:order val="1"/>
          <c:tx>
            <c:strRef>
              <c:f>Alternativ!$A$3</c:f>
              <c:strCache>
                <c:ptCount val="1"/>
                <c:pt idx="0">
                  <c:v>UT</c:v>
                </c:pt>
              </c:strCache>
            </c:strRef>
          </c:tx>
          <c:invertIfNegative val="0"/>
          <c:cat>
            <c:numRef>
              <c:f>Alternativ!$B$1:$I$1</c:f>
              <c:numCache>
                <c:formatCode>General</c:formatCode>
                <c:ptCount val="8"/>
                <c:pt idx="0">
                  <c:v>2006</c:v>
                </c:pt>
                <c:pt idx="1">
                  <c:v>2007</c:v>
                </c:pt>
                <c:pt idx="2">
                  <c:v>2008</c:v>
                </c:pt>
                <c:pt idx="3">
                  <c:v>2009</c:v>
                </c:pt>
                <c:pt idx="4">
                  <c:v>2010</c:v>
                </c:pt>
                <c:pt idx="5">
                  <c:v>2011</c:v>
                </c:pt>
                <c:pt idx="6">
                  <c:v>2012</c:v>
                </c:pt>
                <c:pt idx="7">
                  <c:v>2013</c:v>
                </c:pt>
              </c:numCache>
            </c:numRef>
          </c:cat>
          <c:val>
            <c:numRef>
              <c:f>Alternativ!$B$3:$I$3</c:f>
              <c:numCache>
                <c:formatCode>General</c:formatCode>
                <c:ptCount val="8"/>
                <c:pt idx="0">
                  <c:v>44</c:v>
                </c:pt>
                <c:pt idx="1">
                  <c:v>40</c:v>
                </c:pt>
                <c:pt idx="2">
                  <c:v>35</c:v>
                </c:pt>
                <c:pt idx="3">
                  <c:v>61</c:v>
                </c:pt>
                <c:pt idx="4">
                  <c:v>47</c:v>
                </c:pt>
                <c:pt idx="5">
                  <c:v>44</c:v>
                </c:pt>
                <c:pt idx="6">
                  <c:v>57</c:v>
                </c:pt>
                <c:pt idx="7">
                  <c:v>65</c:v>
                </c:pt>
              </c:numCache>
            </c:numRef>
          </c:val>
        </c:ser>
        <c:dLbls>
          <c:showLegendKey val="0"/>
          <c:showVal val="0"/>
          <c:showCatName val="0"/>
          <c:showSerName val="0"/>
          <c:showPercent val="0"/>
          <c:showBubbleSize val="0"/>
        </c:dLbls>
        <c:gapWidth val="55"/>
        <c:gapDepth val="55"/>
        <c:shape val="box"/>
        <c:axId val="133540480"/>
        <c:axId val="133546368"/>
        <c:axId val="0"/>
      </c:bar3DChart>
      <c:catAx>
        <c:axId val="133540480"/>
        <c:scaling>
          <c:orientation val="minMax"/>
        </c:scaling>
        <c:delete val="0"/>
        <c:axPos val="b"/>
        <c:numFmt formatCode="General" sourceLinked="1"/>
        <c:majorTickMark val="none"/>
        <c:minorTickMark val="none"/>
        <c:tickLblPos val="nextTo"/>
        <c:crossAx val="133546368"/>
        <c:crosses val="autoZero"/>
        <c:auto val="1"/>
        <c:lblAlgn val="ctr"/>
        <c:lblOffset val="100"/>
        <c:noMultiLvlLbl val="0"/>
      </c:catAx>
      <c:valAx>
        <c:axId val="133546368"/>
        <c:scaling>
          <c:orientation val="minMax"/>
        </c:scaling>
        <c:delete val="0"/>
        <c:axPos val="l"/>
        <c:majorGridlines/>
        <c:numFmt formatCode="General" sourceLinked="1"/>
        <c:majorTickMark val="none"/>
        <c:minorTickMark val="none"/>
        <c:tickLblPos val="nextTo"/>
        <c:crossAx val="133540480"/>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'UT UNIS'!$B$1</c:f>
              <c:strCache>
                <c:ptCount val="1"/>
                <c:pt idx="0">
                  <c:v>Arktisk bio</c:v>
                </c:pt>
              </c:strCache>
            </c:strRef>
          </c:tx>
          <c:invertIfNegative val="0"/>
          <c:cat>
            <c:numRef>
              <c:f>'UT UNIS'!$A$2:$A$5</c:f>
              <c:numCache>
                <c:formatCode>General</c:formatCode>
                <c:ptCount val="4"/>
                <c:pt idx="0">
                  <c:v>2010</c:v>
                </c:pt>
                <c:pt idx="1">
                  <c:v>2011</c:v>
                </c:pt>
                <c:pt idx="2">
                  <c:v>2012</c:v>
                </c:pt>
                <c:pt idx="3">
                  <c:v>2013</c:v>
                </c:pt>
              </c:numCache>
            </c:numRef>
          </c:cat>
          <c:val>
            <c:numRef>
              <c:f>'UT UNIS'!$B$2:$B$5</c:f>
              <c:numCache>
                <c:formatCode>General</c:formatCode>
                <c:ptCount val="4"/>
                <c:pt idx="0">
                  <c:v>17</c:v>
                </c:pt>
                <c:pt idx="1">
                  <c:v>21</c:v>
                </c:pt>
                <c:pt idx="2">
                  <c:v>37</c:v>
                </c:pt>
                <c:pt idx="3">
                  <c:v>22</c:v>
                </c:pt>
              </c:numCache>
            </c:numRef>
          </c:val>
        </c:ser>
        <c:ser>
          <c:idx val="1"/>
          <c:order val="1"/>
          <c:tx>
            <c:strRef>
              <c:f>'UT UNIS'!$C$1</c:f>
              <c:strCache>
                <c:ptCount val="1"/>
                <c:pt idx="0">
                  <c:v>Arktisk geo</c:v>
                </c:pt>
              </c:strCache>
            </c:strRef>
          </c:tx>
          <c:invertIfNegative val="0"/>
          <c:cat>
            <c:numRef>
              <c:f>'UT UNIS'!$A$2:$A$5</c:f>
              <c:numCache>
                <c:formatCode>General</c:formatCode>
                <c:ptCount val="4"/>
                <c:pt idx="0">
                  <c:v>2010</c:v>
                </c:pt>
                <c:pt idx="1">
                  <c:v>2011</c:v>
                </c:pt>
                <c:pt idx="2">
                  <c:v>2012</c:v>
                </c:pt>
                <c:pt idx="3">
                  <c:v>2013</c:v>
                </c:pt>
              </c:numCache>
            </c:numRef>
          </c:cat>
          <c:val>
            <c:numRef>
              <c:f>'UT UNIS'!$C$2:$C$5</c:f>
              <c:numCache>
                <c:formatCode>General</c:formatCode>
                <c:ptCount val="4"/>
                <c:pt idx="0">
                  <c:v>21</c:v>
                </c:pt>
                <c:pt idx="1">
                  <c:v>23</c:v>
                </c:pt>
                <c:pt idx="2">
                  <c:v>17</c:v>
                </c:pt>
                <c:pt idx="3">
                  <c:v>19</c:v>
                </c:pt>
              </c:numCache>
            </c:numRef>
          </c:val>
        </c:ser>
        <c:ser>
          <c:idx val="2"/>
          <c:order val="2"/>
          <c:tx>
            <c:strRef>
              <c:f>'UT UNIS'!$D$1</c:f>
              <c:strCache>
                <c:ptCount val="1"/>
                <c:pt idx="0">
                  <c:v>Arktisk geofys</c:v>
                </c:pt>
              </c:strCache>
            </c:strRef>
          </c:tx>
          <c:invertIfNegative val="0"/>
          <c:cat>
            <c:numRef>
              <c:f>'UT UNIS'!$A$2:$A$5</c:f>
              <c:numCache>
                <c:formatCode>General</c:formatCode>
                <c:ptCount val="4"/>
                <c:pt idx="0">
                  <c:v>2010</c:v>
                </c:pt>
                <c:pt idx="1">
                  <c:v>2011</c:v>
                </c:pt>
                <c:pt idx="2">
                  <c:v>2012</c:v>
                </c:pt>
                <c:pt idx="3">
                  <c:v>2013</c:v>
                </c:pt>
              </c:numCache>
            </c:numRef>
          </c:cat>
          <c:val>
            <c:numRef>
              <c:f>'UT UNIS'!$D$2:$D$5</c:f>
              <c:numCache>
                <c:formatCode>General</c:formatCode>
                <c:ptCount val="4"/>
                <c:pt idx="0">
                  <c:v>9</c:v>
                </c:pt>
                <c:pt idx="1">
                  <c:v>13</c:v>
                </c:pt>
                <c:pt idx="2">
                  <c:v>12</c:v>
                </c:pt>
                <c:pt idx="3">
                  <c:v>2</c:v>
                </c:pt>
              </c:numCache>
            </c:numRef>
          </c:val>
        </c:ser>
        <c:ser>
          <c:idx val="3"/>
          <c:order val="3"/>
          <c:tx>
            <c:strRef>
              <c:f>'UT UNIS'!$E$1</c:f>
              <c:strCache>
                <c:ptCount val="1"/>
                <c:pt idx="0">
                  <c:v>Arktisk tekn</c:v>
                </c:pt>
              </c:strCache>
            </c:strRef>
          </c:tx>
          <c:invertIfNegative val="0"/>
          <c:cat>
            <c:numRef>
              <c:f>'UT UNIS'!$A$2:$A$5</c:f>
              <c:numCache>
                <c:formatCode>General</c:formatCode>
                <c:ptCount val="4"/>
                <c:pt idx="0">
                  <c:v>2010</c:v>
                </c:pt>
                <c:pt idx="1">
                  <c:v>2011</c:v>
                </c:pt>
                <c:pt idx="2">
                  <c:v>2012</c:v>
                </c:pt>
                <c:pt idx="3">
                  <c:v>2013</c:v>
                </c:pt>
              </c:numCache>
            </c:numRef>
          </c:cat>
          <c:val>
            <c:numRef>
              <c:f>'UT UNIS'!$E$2:$E$5</c:f>
              <c:numCache>
                <c:formatCode>General</c:formatCode>
                <c:ptCount val="4"/>
                <c:pt idx="0">
                  <c:v>0</c:v>
                </c:pt>
                <c:pt idx="1">
                  <c:v>3</c:v>
                </c:pt>
                <c:pt idx="2">
                  <c:v>3</c:v>
                </c:pt>
                <c:pt idx="3">
                  <c:v>8</c:v>
                </c:pt>
              </c:numCache>
            </c:numRef>
          </c:val>
        </c:ser>
        <c:dLbls>
          <c:showLegendKey val="0"/>
          <c:showVal val="0"/>
          <c:showCatName val="0"/>
          <c:showSerName val="0"/>
          <c:showPercent val="0"/>
          <c:showBubbleSize val="0"/>
        </c:dLbls>
        <c:gapWidth val="150"/>
        <c:shape val="box"/>
        <c:axId val="133561344"/>
        <c:axId val="135537408"/>
        <c:axId val="0"/>
      </c:bar3DChart>
      <c:catAx>
        <c:axId val="133561344"/>
        <c:scaling>
          <c:orientation val="minMax"/>
        </c:scaling>
        <c:delete val="0"/>
        <c:axPos val="b"/>
        <c:numFmt formatCode="General" sourceLinked="1"/>
        <c:majorTickMark val="out"/>
        <c:minorTickMark val="none"/>
        <c:tickLblPos val="nextTo"/>
        <c:crossAx val="135537408"/>
        <c:crosses val="autoZero"/>
        <c:auto val="1"/>
        <c:lblAlgn val="ctr"/>
        <c:lblOffset val="100"/>
        <c:noMultiLvlLbl val="0"/>
      </c:catAx>
      <c:valAx>
        <c:axId val="135537408"/>
        <c:scaling>
          <c:orientation val="minMax"/>
        </c:scaling>
        <c:delete val="0"/>
        <c:axPos val="l"/>
        <c:majorGridlines/>
        <c:numFmt formatCode="General" sourceLinked="1"/>
        <c:majorTickMark val="out"/>
        <c:minorTickMark val="none"/>
        <c:tickLblPos val="nextTo"/>
        <c:crossAx val="133561344"/>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'INN PhD'!$B$1</c:f>
              <c:strCache>
                <c:ptCount val="1"/>
                <c:pt idx="0">
                  <c:v>PhD</c:v>
                </c:pt>
              </c:strCache>
            </c:strRef>
          </c:tx>
          <c:invertIfNegative val="0"/>
          <c:cat>
            <c:strRef>
              <c:f>'INN PhD'!$A$2:$A$6</c:f>
              <c:strCache>
                <c:ptCount val="5"/>
                <c:pt idx="0">
                  <c:v>Europa</c:v>
                </c:pt>
                <c:pt idx="1">
                  <c:v>Afrika</c:v>
                </c:pt>
                <c:pt idx="2">
                  <c:v>Asia</c:v>
                </c:pt>
                <c:pt idx="3">
                  <c:v>Nord-Amerika</c:v>
                </c:pt>
                <c:pt idx="4">
                  <c:v>Sør-Amerika</c:v>
                </c:pt>
              </c:strCache>
            </c:strRef>
          </c:cat>
          <c:val>
            <c:numRef>
              <c:f>'INN PhD'!$B$2:$B$6</c:f>
              <c:numCache>
                <c:formatCode>General</c:formatCode>
                <c:ptCount val="5"/>
                <c:pt idx="0">
                  <c:v>135</c:v>
                </c:pt>
                <c:pt idx="1">
                  <c:v>22</c:v>
                </c:pt>
                <c:pt idx="2">
                  <c:v>85</c:v>
                </c:pt>
                <c:pt idx="3">
                  <c:v>11</c:v>
                </c:pt>
                <c:pt idx="4">
                  <c:v>10</c:v>
                </c:pt>
              </c:numCache>
            </c:numRef>
          </c:val>
        </c:ser>
        <c:dLbls>
          <c:showLegendKey val="0"/>
          <c:showVal val="0"/>
          <c:showCatName val="0"/>
          <c:showSerName val="0"/>
          <c:showPercent val="0"/>
          <c:showBubbleSize val="0"/>
        </c:dLbls>
        <c:gapWidth val="150"/>
        <c:shape val="box"/>
        <c:axId val="135550464"/>
        <c:axId val="135552000"/>
        <c:axId val="0"/>
      </c:bar3DChart>
      <c:catAx>
        <c:axId val="135550464"/>
        <c:scaling>
          <c:orientation val="minMax"/>
        </c:scaling>
        <c:delete val="0"/>
        <c:axPos val="b"/>
        <c:majorTickMark val="out"/>
        <c:minorTickMark val="none"/>
        <c:tickLblPos val="nextTo"/>
        <c:crossAx val="135552000"/>
        <c:crosses val="autoZero"/>
        <c:auto val="1"/>
        <c:lblAlgn val="ctr"/>
        <c:lblOffset val="100"/>
        <c:noMultiLvlLbl val="0"/>
      </c:catAx>
      <c:valAx>
        <c:axId val="135552000"/>
        <c:scaling>
          <c:orientation val="minMax"/>
        </c:scaling>
        <c:delete val="0"/>
        <c:axPos val="l"/>
        <c:majorGridlines/>
        <c:numFmt formatCode="General" sourceLinked="1"/>
        <c:majorTickMark val="out"/>
        <c:minorTickMark val="none"/>
        <c:tickLblPos val="nextTo"/>
        <c:crossAx val="135550464"/>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'UT PhD'!$B$1</c:f>
              <c:strCache>
                <c:ptCount val="1"/>
                <c:pt idx="0">
                  <c:v>IBV</c:v>
                </c:pt>
              </c:strCache>
            </c:strRef>
          </c:tx>
          <c:invertIfNegative val="0"/>
          <c:cat>
            <c:numRef>
              <c:f>'UT PhD'!$A$2:$A$4</c:f>
              <c:numCache>
                <c:formatCode>General</c:formatCode>
                <c:ptCount val="3"/>
                <c:pt idx="0">
                  <c:v>2010</c:v>
                </c:pt>
                <c:pt idx="1">
                  <c:v>2011</c:v>
                </c:pt>
                <c:pt idx="2">
                  <c:v>2012</c:v>
                </c:pt>
              </c:numCache>
            </c:numRef>
          </c:cat>
          <c:val>
            <c:numRef>
              <c:f>'UT PhD'!$B$2:$B$4</c:f>
              <c:numCache>
                <c:formatCode>General</c:formatCode>
                <c:ptCount val="3"/>
                <c:pt idx="0">
                  <c:v>5</c:v>
                </c:pt>
                <c:pt idx="1">
                  <c:v>4</c:v>
                </c:pt>
                <c:pt idx="2">
                  <c:v>6</c:v>
                </c:pt>
              </c:numCache>
            </c:numRef>
          </c:val>
        </c:ser>
        <c:ser>
          <c:idx val="1"/>
          <c:order val="1"/>
          <c:tx>
            <c:strRef>
              <c:f>'UT PhD'!$C$1</c:f>
              <c:strCache>
                <c:ptCount val="1"/>
                <c:pt idx="0">
                  <c:v>FAI</c:v>
                </c:pt>
              </c:strCache>
            </c:strRef>
          </c:tx>
          <c:invertIfNegative val="0"/>
          <c:cat>
            <c:numRef>
              <c:f>'UT PhD'!$A$2:$A$4</c:f>
              <c:numCache>
                <c:formatCode>General</c:formatCode>
                <c:ptCount val="3"/>
                <c:pt idx="0">
                  <c:v>2010</c:v>
                </c:pt>
                <c:pt idx="1">
                  <c:v>2011</c:v>
                </c:pt>
                <c:pt idx="2">
                  <c:v>2012</c:v>
                </c:pt>
              </c:numCache>
            </c:numRef>
          </c:cat>
          <c:val>
            <c:numRef>
              <c:f>'UT PhD'!$C$2:$C$4</c:f>
              <c:numCache>
                <c:formatCode>General</c:formatCode>
                <c:ptCount val="3"/>
                <c:pt idx="0">
                  <c:v>2</c:v>
                </c:pt>
                <c:pt idx="1">
                  <c:v>3</c:v>
                </c:pt>
                <c:pt idx="2">
                  <c:v>5</c:v>
                </c:pt>
              </c:numCache>
            </c:numRef>
          </c:val>
        </c:ser>
        <c:ser>
          <c:idx val="2"/>
          <c:order val="2"/>
          <c:tx>
            <c:strRef>
              <c:f>'UT PhD'!$D$1</c:f>
              <c:strCache>
                <c:ptCount val="1"/>
                <c:pt idx="0">
                  <c:v>FYS</c:v>
                </c:pt>
              </c:strCache>
            </c:strRef>
          </c:tx>
          <c:invertIfNegative val="0"/>
          <c:cat>
            <c:numRef>
              <c:f>'UT PhD'!$A$2:$A$4</c:f>
              <c:numCache>
                <c:formatCode>General</c:formatCode>
                <c:ptCount val="3"/>
                <c:pt idx="0">
                  <c:v>2010</c:v>
                </c:pt>
                <c:pt idx="1">
                  <c:v>2011</c:v>
                </c:pt>
                <c:pt idx="2">
                  <c:v>2012</c:v>
                </c:pt>
              </c:numCache>
            </c:numRef>
          </c:cat>
          <c:val>
            <c:numRef>
              <c:f>'UT PhD'!$D$2:$D$4</c:f>
              <c:numCache>
                <c:formatCode>General</c:formatCode>
                <c:ptCount val="3"/>
                <c:pt idx="0">
                  <c:v>5</c:v>
                </c:pt>
                <c:pt idx="1">
                  <c:v>12</c:v>
                </c:pt>
                <c:pt idx="2">
                  <c:v>13</c:v>
                </c:pt>
              </c:numCache>
            </c:numRef>
          </c:val>
        </c:ser>
        <c:ser>
          <c:idx val="3"/>
          <c:order val="3"/>
          <c:tx>
            <c:strRef>
              <c:f>'UT PhD'!$E$1</c:f>
              <c:strCache>
                <c:ptCount val="1"/>
                <c:pt idx="0">
                  <c:v>IFI</c:v>
                </c:pt>
              </c:strCache>
            </c:strRef>
          </c:tx>
          <c:invertIfNegative val="0"/>
          <c:cat>
            <c:numRef>
              <c:f>'UT PhD'!$A$2:$A$4</c:f>
              <c:numCache>
                <c:formatCode>General</c:formatCode>
                <c:ptCount val="3"/>
                <c:pt idx="0">
                  <c:v>2010</c:v>
                </c:pt>
                <c:pt idx="1">
                  <c:v>2011</c:v>
                </c:pt>
                <c:pt idx="2">
                  <c:v>2012</c:v>
                </c:pt>
              </c:numCache>
            </c:numRef>
          </c:cat>
          <c:val>
            <c:numRef>
              <c:f>'UT PhD'!$E$2:$E$4</c:f>
              <c:numCache>
                <c:formatCode>General</c:formatCode>
                <c:ptCount val="3"/>
                <c:pt idx="0">
                  <c:v>13</c:v>
                </c:pt>
                <c:pt idx="1">
                  <c:v>17</c:v>
                </c:pt>
                <c:pt idx="2">
                  <c:v>8</c:v>
                </c:pt>
              </c:numCache>
            </c:numRef>
          </c:val>
        </c:ser>
        <c:ser>
          <c:idx val="4"/>
          <c:order val="4"/>
          <c:tx>
            <c:strRef>
              <c:f>'UT PhD'!$F$1</c:f>
              <c:strCache>
                <c:ptCount val="1"/>
                <c:pt idx="0">
                  <c:v>GEO</c:v>
                </c:pt>
              </c:strCache>
            </c:strRef>
          </c:tx>
          <c:invertIfNegative val="0"/>
          <c:cat>
            <c:numRef>
              <c:f>'UT PhD'!$A$2:$A$4</c:f>
              <c:numCache>
                <c:formatCode>General</c:formatCode>
                <c:ptCount val="3"/>
                <c:pt idx="0">
                  <c:v>2010</c:v>
                </c:pt>
                <c:pt idx="1">
                  <c:v>2011</c:v>
                </c:pt>
                <c:pt idx="2">
                  <c:v>2012</c:v>
                </c:pt>
              </c:numCache>
            </c:numRef>
          </c:cat>
          <c:val>
            <c:numRef>
              <c:f>'UT PhD'!$F$2:$F$4</c:f>
              <c:numCache>
                <c:formatCode>General</c:formatCode>
                <c:ptCount val="3"/>
                <c:pt idx="0">
                  <c:v>4</c:v>
                </c:pt>
                <c:pt idx="1">
                  <c:v>10</c:v>
                </c:pt>
                <c:pt idx="2">
                  <c:v>4</c:v>
                </c:pt>
              </c:numCache>
            </c:numRef>
          </c:val>
        </c:ser>
        <c:ser>
          <c:idx val="5"/>
          <c:order val="5"/>
          <c:tx>
            <c:strRef>
              <c:f>'UT PhD'!$G$1</c:f>
              <c:strCache>
                <c:ptCount val="1"/>
                <c:pt idx="0">
                  <c:v>KJE</c:v>
                </c:pt>
              </c:strCache>
            </c:strRef>
          </c:tx>
          <c:invertIfNegative val="0"/>
          <c:cat>
            <c:numRef>
              <c:f>'UT PhD'!$A$2:$A$4</c:f>
              <c:numCache>
                <c:formatCode>General</c:formatCode>
                <c:ptCount val="3"/>
                <c:pt idx="0">
                  <c:v>2010</c:v>
                </c:pt>
                <c:pt idx="1">
                  <c:v>2011</c:v>
                </c:pt>
                <c:pt idx="2">
                  <c:v>2012</c:v>
                </c:pt>
              </c:numCache>
            </c:numRef>
          </c:cat>
          <c:val>
            <c:numRef>
              <c:f>'UT PhD'!$G$2:$G$4</c:f>
              <c:numCache>
                <c:formatCode>General</c:formatCode>
                <c:ptCount val="3"/>
                <c:pt idx="0">
                  <c:v>7</c:v>
                </c:pt>
                <c:pt idx="1">
                  <c:v>2</c:v>
                </c:pt>
                <c:pt idx="2">
                  <c:v>0</c:v>
                </c:pt>
              </c:numCache>
            </c:numRef>
          </c:val>
        </c:ser>
        <c:ser>
          <c:idx val="6"/>
          <c:order val="6"/>
          <c:tx>
            <c:strRef>
              <c:f>'UT PhD'!$H$1</c:f>
              <c:strCache>
                <c:ptCount val="1"/>
                <c:pt idx="0">
                  <c:v>MAT</c:v>
                </c:pt>
              </c:strCache>
            </c:strRef>
          </c:tx>
          <c:invertIfNegative val="0"/>
          <c:cat>
            <c:numRef>
              <c:f>'UT PhD'!$A$2:$A$4</c:f>
              <c:numCache>
                <c:formatCode>General</c:formatCode>
                <c:ptCount val="3"/>
                <c:pt idx="0">
                  <c:v>2010</c:v>
                </c:pt>
                <c:pt idx="1">
                  <c:v>2011</c:v>
                </c:pt>
                <c:pt idx="2">
                  <c:v>2012</c:v>
                </c:pt>
              </c:numCache>
            </c:numRef>
          </c:cat>
          <c:val>
            <c:numRef>
              <c:f>'UT PhD'!$H$2:$H$4</c:f>
              <c:numCache>
                <c:formatCode>General</c:formatCode>
                <c:ptCount val="3"/>
                <c:pt idx="0">
                  <c:v>2</c:v>
                </c:pt>
                <c:pt idx="1">
                  <c:v>1</c:v>
                </c:pt>
                <c:pt idx="2">
                  <c:v>3</c:v>
                </c:pt>
              </c:numCache>
            </c:numRef>
          </c:val>
        </c:ser>
        <c:ser>
          <c:idx val="7"/>
          <c:order val="7"/>
          <c:tx>
            <c:strRef>
              <c:f>'UT PhD'!$I$1</c:f>
              <c:strCache>
                <c:ptCount val="1"/>
                <c:pt idx="0">
                  <c:v>AST</c:v>
                </c:pt>
              </c:strCache>
            </c:strRef>
          </c:tx>
          <c:invertIfNegative val="0"/>
          <c:cat>
            <c:numRef>
              <c:f>'UT PhD'!$A$2:$A$4</c:f>
              <c:numCache>
                <c:formatCode>General</c:formatCode>
                <c:ptCount val="3"/>
                <c:pt idx="0">
                  <c:v>2010</c:v>
                </c:pt>
                <c:pt idx="1">
                  <c:v>2011</c:v>
                </c:pt>
                <c:pt idx="2">
                  <c:v>2012</c:v>
                </c:pt>
              </c:numCache>
            </c:numRef>
          </c:cat>
          <c:val>
            <c:numRef>
              <c:f>'UT PhD'!$I$2:$I$4</c:f>
              <c:numCache>
                <c:formatCode>General</c:formatCode>
                <c:ptCount val="3"/>
                <c:pt idx="0">
                  <c:v>3</c:v>
                </c:pt>
                <c:pt idx="1">
                  <c:v>0</c:v>
                </c:pt>
                <c:pt idx="2">
                  <c:v>8</c:v>
                </c:pt>
              </c:numCache>
            </c:numRef>
          </c:val>
        </c:ser>
        <c:dLbls>
          <c:showLegendKey val="0"/>
          <c:showVal val="0"/>
          <c:showCatName val="0"/>
          <c:showSerName val="0"/>
          <c:showPercent val="0"/>
          <c:showBubbleSize val="0"/>
        </c:dLbls>
        <c:gapWidth val="150"/>
        <c:shape val="box"/>
        <c:axId val="135590656"/>
        <c:axId val="135592192"/>
        <c:axId val="0"/>
      </c:bar3DChart>
      <c:catAx>
        <c:axId val="135590656"/>
        <c:scaling>
          <c:orientation val="minMax"/>
        </c:scaling>
        <c:delete val="0"/>
        <c:axPos val="b"/>
        <c:numFmt formatCode="General" sourceLinked="1"/>
        <c:majorTickMark val="out"/>
        <c:minorTickMark val="none"/>
        <c:tickLblPos val="nextTo"/>
        <c:crossAx val="135592192"/>
        <c:crosses val="autoZero"/>
        <c:auto val="1"/>
        <c:lblAlgn val="ctr"/>
        <c:lblOffset val="100"/>
        <c:noMultiLvlLbl val="0"/>
      </c:catAx>
      <c:valAx>
        <c:axId val="135592192"/>
        <c:scaling>
          <c:orientation val="minMax"/>
        </c:scaling>
        <c:delete val="0"/>
        <c:axPos val="l"/>
        <c:majorGridlines/>
        <c:numFmt formatCode="General" sourceLinked="1"/>
        <c:majorTickMark val="out"/>
        <c:minorTickMark val="none"/>
        <c:tickLblPos val="nextTo"/>
        <c:crossAx val="135590656"/>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perspective val="30"/>
    </c:view3D>
    <c:floor>
      <c:thickness val="0"/>
    </c:floor>
    <c:sideWall>
      <c:thickness val="0"/>
    </c:sideWall>
    <c:backWall>
      <c:thickness val="0"/>
    </c:backWall>
    <c:plotArea>
      <c:layout/>
      <c:bar3DChart>
        <c:barDir val="col"/>
        <c:grouping val="stacked"/>
        <c:varyColors val="0"/>
        <c:ser>
          <c:idx val="0"/>
          <c:order val="0"/>
          <c:tx>
            <c:strRef>
              <c:f>'INN SFM, SFEU, kvote'!$A$2</c:f>
              <c:strCache>
                <c:ptCount val="1"/>
                <c:pt idx="0">
                  <c:v>Europa</c:v>
                </c:pt>
              </c:strCache>
            </c:strRef>
          </c:tx>
          <c:invertIfNegative val="0"/>
          <c:cat>
            <c:strRef>
              <c:f>'INN SFM, SFEU, kvote'!$B$1:$E$1</c:f>
              <c:strCache>
                <c:ptCount val="4"/>
                <c:pt idx="0">
                  <c:v>2010 høst</c:v>
                </c:pt>
                <c:pt idx="1">
                  <c:v>2011 høst</c:v>
                </c:pt>
                <c:pt idx="2">
                  <c:v>2012 høst</c:v>
                </c:pt>
                <c:pt idx="3">
                  <c:v>2013 høst</c:v>
                </c:pt>
              </c:strCache>
            </c:strRef>
          </c:cat>
          <c:val>
            <c:numRef>
              <c:f>'INN SFM, SFEU, kvote'!$B$2:$E$2</c:f>
              <c:numCache>
                <c:formatCode>General</c:formatCode>
                <c:ptCount val="4"/>
                <c:pt idx="0">
                  <c:v>298</c:v>
                </c:pt>
                <c:pt idx="1">
                  <c:v>316</c:v>
                </c:pt>
                <c:pt idx="2">
                  <c:v>390</c:v>
                </c:pt>
                <c:pt idx="3">
                  <c:v>466</c:v>
                </c:pt>
              </c:numCache>
            </c:numRef>
          </c:val>
        </c:ser>
        <c:ser>
          <c:idx val="1"/>
          <c:order val="1"/>
          <c:tx>
            <c:strRef>
              <c:f>'INN SFM, SFEU, kvote'!$A$3</c:f>
              <c:strCache>
                <c:ptCount val="1"/>
                <c:pt idx="0">
                  <c:v>Afrika</c:v>
                </c:pt>
              </c:strCache>
            </c:strRef>
          </c:tx>
          <c:invertIfNegative val="0"/>
          <c:cat>
            <c:strRef>
              <c:f>'INN SFM, SFEU, kvote'!$B$1:$E$1</c:f>
              <c:strCache>
                <c:ptCount val="4"/>
                <c:pt idx="0">
                  <c:v>2010 høst</c:v>
                </c:pt>
                <c:pt idx="1">
                  <c:v>2011 høst</c:v>
                </c:pt>
                <c:pt idx="2">
                  <c:v>2012 høst</c:v>
                </c:pt>
                <c:pt idx="3">
                  <c:v>2013 høst</c:v>
                </c:pt>
              </c:strCache>
            </c:strRef>
          </c:cat>
          <c:val>
            <c:numRef>
              <c:f>'INN SFM, SFEU, kvote'!$B$3:$E$3</c:f>
              <c:numCache>
                <c:formatCode>General</c:formatCode>
                <c:ptCount val="4"/>
                <c:pt idx="0">
                  <c:v>78</c:v>
                </c:pt>
                <c:pt idx="1">
                  <c:v>91</c:v>
                </c:pt>
                <c:pt idx="2">
                  <c:v>98</c:v>
                </c:pt>
                <c:pt idx="3">
                  <c:v>91</c:v>
                </c:pt>
              </c:numCache>
            </c:numRef>
          </c:val>
        </c:ser>
        <c:ser>
          <c:idx val="2"/>
          <c:order val="2"/>
          <c:tx>
            <c:strRef>
              <c:f>'INN SFM, SFEU, kvote'!$A$4</c:f>
              <c:strCache>
                <c:ptCount val="1"/>
                <c:pt idx="0">
                  <c:v>Asia</c:v>
                </c:pt>
              </c:strCache>
            </c:strRef>
          </c:tx>
          <c:invertIfNegative val="0"/>
          <c:cat>
            <c:strRef>
              <c:f>'INN SFM, SFEU, kvote'!$B$1:$E$1</c:f>
              <c:strCache>
                <c:ptCount val="4"/>
                <c:pt idx="0">
                  <c:v>2010 høst</c:v>
                </c:pt>
                <c:pt idx="1">
                  <c:v>2011 høst</c:v>
                </c:pt>
                <c:pt idx="2">
                  <c:v>2012 høst</c:v>
                </c:pt>
                <c:pt idx="3">
                  <c:v>2013 høst</c:v>
                </c:pt>
              </c:strCache>
            </c:strRef>
          </c:cat>
          <c:val>
            <c:numRef>
              <c:f>'INN SFM, SFEU, kvote'!$B$4:$E$4</c:f>
              <c:numCache>
                <c:formatCode>General</c:formatCode>
                <c:ptCount val="4"/>
                <c:pt idx="0">
                  <c:v>242</c:v>
                </c:pt>
                <c:pt idx="1">
                  <c:v>262</c:v>
                </c:pt>
                <c:pt idx="2">
                  <c:v>288</c:v>
                </c:pt>
                <c:pt idx="3">
                  <c:v>337</c:v>
                </c:pt>
              </c:numCache>
            </c:numRef>
          </c:val>
        </c:ser>
        <c:ser>
          <c:idx val="3"/>
          <c:order val="3"/>
          <c:tx>
            <c:strRef>
              <c:f>'INN SFM, SFEU, kvote'!$A$5</c:f>
              <c:strCache>
                <c:ptCount val="1"/>
                <c:pt idx="0">
                  <c:v>Nord-Amerika</c:v>
                </c:pt>
              </c:strCache>
            </c:strRef>
          </c:tx>
          <c:invertIfNegative val="0"/>
          <c:cat>
            <c:strRef>
              <c:f>'INN SFM, SFEU, kvote'!$B$1:$E$1</c:f>
              <c:strCache>
                <c:ptCount val="4"/>
                <c:pt idx="0">
                  <c:v>2010 høst</c:v>
                </c:pt>
                <c:pt idx="1">
                  <c:v>2011 høst</c:v>
                </c:pt>
                <c:pt idx="2">
                  <c:v>2012 høst</c:v>
                </c:pt>
                <c:pt idx="3">
                  <c:v>2013 høst</c:v>
                </c:pt>
              </c:strCache>
            </c:strRef>
          </c:cat>
          <c:val>
            <c:numRef>
              <c:f>'INN SFM, SFEU, kvote'!$B$5:$E$5</c:f>
              <c:numCache>
                <c:formatCode>General</c:formatCode>
                <c:ptCount val="4"/>
                <c:pt idx="0">
                  <c:v>36</c:v>
                </c:pt>
                <c:pt idx="1">
                  <c:v>32</c:v>
                </c:pt>
                <c:pt idx="2">
                  <c:v>29</c:v>
                </c:pt>
                <c:pt idx="3">
                  <c:v>42</c:v>
                </c:pt>
              </c:numCache>
            </c:numRef>
          </c:val>
        </c:ser>
        <c:ser>
          <c:idx val="4"/>
          <c:order val="4"/>
          <c:tx>
            <c:strRef>
              <c:f>'INN SFM, SFEU, kvote'!$A$6</c:f>
              <c:strCache>
                <c:ptCount val="1"/>
                <c:pt idx="0">
                  <c:v>Sør-Amerika</c:v>
                </c:pt>
              </c:strCache>
            </c:strRef>
          </c:tx>
          <c:invertIfNegative val="0"/>
          <c:cat>
            <c:strRef>
              <c:f>'INN SFM, SFEU, kvote'!$B$1:$E$1</c:f>
              <c:strCache>
                <c:ptCount val="4"/>
                <c:pt idx="0">
                  <c:v>2010 høst</c:v>
                </c:pt>
                <c:pt idx="1">
                  <c:v>2011 høst</c:v>
                </c:pt>
                <c:pt idx="2">
                  <c:v>2012 høst</c:v>
                </c:pt>
                <c:pt idx="3">
                  <c:v>2013 høst</c:v>
                </c:pt>
              </c:strCache>
            </c:strRef>
          </c:cat>
          <c:val>
            <c:numRef>
              <c:f>'INN SFM, SFEU, kvote'!$B$6:$E$6</c:f>
              <c:numCache>
                <c:formatCode>General</c:formatCode>
                <c:ptCount val="4"/>
                <c:pt idx="0">
                  <c:v>7</c:v>
                </c:pt>
                <c:pt idx="1">
                  <c:v>8</c:v>
                </c:pt>
                <c:pt idx="2">
                  <c:v>13</c:v>
                </c:pt>
                <c:pt idx="3">
                  <c:v>36</c:v>
                </c:pt>
              </c:numCache>
            </c:numRef>
          </c:val>
        </c:ser>
        <c:ser>
          <c:idx val="5"/>
          <c:order val="5"/>
          <c:tx>
            <c:strRef>
              <c:f>'INN SFM, SFEU, kvote'!$A$7</c:f>
              <c:strCache>
                <c:ptCount val="1"/>
                <c:pt idx="0">
                  <c:v>Oceania</c:v>
                </c:pt>
              </c:strCache>
            </c:strRef>
          </c:tx>
          <c:invertIfNegative val="0"/>
          <c:cat>
            <c:strRef>
              <c:f>'INN SFM, SFEU, kvote'!$B$1:$E$1</c:f>
              <c:strCache>
                <c:ptCount val="4"/>
                <c:pt idx="0">
                  <c:v>2010 høst</c:v>
                </c:pt>
                <c:pt idx="1">
                  <c:v>2011 høst</c:v>
                </c:pt>
                <c:pt idx="2">
                  <c:v>2012 høst</c:v>
                </c:pt>
                <c:pt idx="3">
                  <c:v>2013 høst</c:v>
                </c:pt>
              </c:strCache>
            </c:strRef>
          </c:cat>
          <c:val>
            <c:numRef>
              <c:f>'INN SFM, SFEU, kvote'!$B$7:$E$7</c:f>
              <c:numCache>
                <c:formatCode>General</c:formatCode>
                <c:ptCount val="4"/>
                <c:pt idx="0">
                  <c:v>7</c:v>
                </c:pt>
                <c:pt idx="1">
                  <c:v>4</c:v>
                </c:pt>
                <c:pt idx="2">
                  <c:v>8</c:v>
                </c:pt>
                <c:pt idx="3">
                  <c:v>8</c:v>
                </c:pt>
              </c:numCache>
            </c:numRef>
          </c:val>
        </c:ser>
        <c:ser>
          <c:idx val="6"/>
          <c:order val="6"/>
          <c:tx>
            <c:strRef>
              <c:f>'INN SFM, SFEU, kvote'!$A$8</c:f>
              <c:strCache>
                <c:ptCount val="1"/>
                <c:pt idx="0">
                  <c:v>Uspesifisert</c:v>
                </c:pt>
              </c:strCache>
            </c:strRef>
          </c:tx>
          <c:invertIfNegative val="0"/>
          <c:cat>
            <c:strRef>
              <c:f>'INN SFM, SFEU, kvote'!$B$1:$E$1</c:f>
              <c:strCache>
                <c:ptCount val="4"/>
                <c:pt idx="0">
                  <c:v>2010 høst</c:v>
                </c:pt>
                <c:pt idx="1">
                  <c:v>2011 høst</c:v>
                </c:pt>
                <c:pt idx="2">
                  <c:v>2012 høst</c:v>
                </c:pt>
                <c:pt idx="3">
                  <c:v>2013 høst</c:v>
                </c:pt>
              </c:strCache>
            </c:strRef>
          </c:cat>
          <c:val>
            <c:numRef>
              <c:f>'INN SFM, SFEU, kvote'!$B$8:$E$8</c:f>
              <c:numCache>
                <c:formatCode>General</c:formatCode>
                <c:ptCount val="4"/>
                <c:pt idx="0">
                  <c:v>97</c:v>
                </c:pt>
                <c:pt idx="1">
                  <c:v>89</c:v>
                </c:pt>
                <c:pt idx="2">
                  <c:v>69</c:v>
                </c:pt>
                <c:pt idx="3">
                  <c:v>64</c:v>
                </c:pt>
              </c:numCache>
            </c:numRef>
          </c:val>
        </c:ser>
        <c:dLbls>
          <c:showLegendKey val="0"/>
          <c:showVal val="0"/>
          <c:showCatName val="0"/>
          <c:showSerName val="0"/>
          <c:showPercent val="0"/>
          <c:showBubbleSize val="0"/>
        </c:dLbls>
        <c:gapWidth val="150"/>
        <c:shape val="box"/>
        <c:axId val="135713536"/>
        <c:axId val="135715072"/>
        <c:axId val="0"/>
      </c:bar3DChart>
      <c:catAx>
        <c:axId val="135713536"/>
        <c:scaling>
          <c:orientation val="minMax"/>
        </c:scaling>
        <c:delete val="0"/>
        <c:axPos val="b"/>
        <c:majorTickMark val="out"/>
        <c:minorTickMark val="none"/>
        <c:tickLblPos val="nextTo"/>
        <c:crossAx val="135715072"/>
        <c:crosses val="autoZero"/>
        <c:auto val="1"/>
        <c:lblAlgn val="ctr"/>
        <c:lblOffset val="100"/>
        <c:noMultiLvlLbl val="0"/>
      </c:catAx>
      <c:valAx>
        <c:axId val="135715072"/>
        <c:scaling>
          <c:orientation val="minMax"/>
        </c:scaling>
        <c:delete val="0"/>
        <c:axPos val="l"/>
        <c:majorGridlines/>
        <c:numFmt formatCode="General" sourceLinked="1"/>
        <c:majorTickMark val="out"/>
        <c:minorTickMark val="none"/>
        <c:tickLblPos val="nextTo"/>
        <c:crossAx val="135713536"/>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cked"/>
        <c:varyColors val="0"/>
        <c:ser>
          <c:idx val="0"/>
          <c:order val="0"/>
          <c:tx>
            <c:strRef>
              <c:f>'INN SFM, SFEU, kvote'!$A$21</c:f>
              <c:strCache>
                <c:ptCount val="1"/>
                <c:pt idx="0">
                  <c:v>Lavere grad</c:v>
                </c:pt>
              </c:strCache>
            </c:strRef>
          </c:tx>
          <c:invertIfNegative val="0"/>
          <c:cat>
            <c:strRef>
              <c:f>'INN SFM, SFEU, kvote'!$B$20:$E$20</c:f>
              <c:strCache>
                <c:ptCount val="4"/>
                <c:pt idx="0">
                  <c:v>2010 høst</c:v>
                </c:pt>
                <c:pt idx="1">
                  <c:v>2011 høst</c:v>
                </c:pt>
                <c:pt idx="2">
                  <c:v>2012 høst</c:v>
                </c:pt>
                <c:pt idx="3">
                  <c:v>2013 høst</c:v>
                </c:pt>
              </c:strCache>
            </c:strRef>
          </c:cat>
          <c:val>
            <c:numRef>
              <c:f>'INN SFM, SFEU, kvote'!$B$21:$E$21</c:f>
              <c:numCache>
                <c:formatCode>General</c:formatCode>
                <c:ptCount val="4"/>
                <c:pt idx="0">
                  <c:v>276</c:v>
                </c:pt>
                <c:pt idx="1">
                  <c:v>277</c:v>
                </c:pt>
                <c:pt idx="2">
                  <c:v>336</c:v>
                </c:pt>
                <c:pt idx="3">
                  <c:v>373</c:v>
                </c:pt>
              </c:numCache>
            </c:numRef>
          </c:val>
        </c:ser>
        <c:ser>
          <c:idx val="1"/>
          <c:order val="1"/>
          <c:tx>
            <c:strRef>
              <c:f>'INN SFM, SFEU, kvote'!$A$22</c:f>
              <c:strCache>
                <c:ptCount val="1"/>
                <c:pt idx="0">
                  <c:v>Utvekslings lavere</c:v>
                </c:pt>
              </c:strCache>
            </c:strRef>
          </c:tx>
          <c:invertIfNegative val="0"/>
          <c:cat>
            <c:strRef>
              <c:f>'INN SFM, SFEU, kvote'!$B$20:$E$20</c:f>
              <c:strCache>
                <c:ptCount val="4"/>
                <c:pt idx="0">
                  <c:v>2010 høst</c:v>
                </c:pt>
                <c:pt idx="1">
                  <c:v>2011 høst</c:v>
                </c:pt>
                <c:pt idx="2">
                  <c:v>2012 høst</c:v>
                </c:pt>
                <c:pt idx="3">
                  <c:v>2013 høst</c:v>
                </c:pt>
              </c:strCache>
            </c:strRef>
          </c:cat>
          <c:val>
            <c:numRef>
              <c:f>'INN SFM, SFEU, kvote'!$B$22:$E$22</c:f>
              <c:numCache>
                <c:formatCode>General</c:formatCode>
                <c:ptCount val="4"/>
                <c:pt idx="0">
                  <c:v>36</c:v>
                </c:pt>
                <c:pt idx="1">
                  <c:v>41</c:v>
                </c:pt>
                <c:pt idx="2">
                  <c:v>51</c:v>
                </c:pt>
                <c:pt idx="3">
                  <c:v>81</c:v>
                </c:pt>
              </c:numCache>
            </c:numRef>
          </c:val>
        </c:ser>
        <c:ser>
          <c:idx val="2"/>
          <c:order val="2"/>
          <c:tx>
            <c:strRef>
              <c:f>'INN SFM, SFEU, kvote'!$A$23</c:f>
              <c:strCache>
                <c:ptCount val="1"/>
                <c:pt idx="0">
                  <c:v>Mastergrad</c:v>
                </c:pt>
              </c:strCache>
            </c:strRef>
          </c:tx>
          <c:invertIfNegative val="0"/>
          <c:cat>
            <c:strRef>
              <c:f>'INN SFM, SFEU, kvote'!$B$20:$E$20</c:f>
              <c:strCache>
                <c:ptCount val="4"/>
                <c:pt idx="0">
                  <c:v>2010 høst</c:v>
                </c:pt>
                <c:pt idx="1">
                  <c:v>2011 høst</c:v>
                </c:pt>
                <c:pt idx="2">
                  <c:v>2012 høst</c:v>
                </c:pt>
                <c:pt idx="3">
                  <c:v>2013 høst</c:v>
                </c:pt>
              </c:strCache>
            </c:strRef>
          </c:cat>
          <c:val>
            <c:numRef>
              <c:f>'INN SFM, SFEU, kvote'!$B$23:$E$23</c:f>
              <c:numCache>
                <c:formatCode>General</c:formatCode>
                <c:ptCount val="4"/>
                <c:pt idx="0">
                  <c:v>315</c:v>
                </c:pt>
                <c:pt idx="1">
                  <c:v>349</c:v>
                </c:pt>
                <c:pt idx="2">
                  <c:v>340</c:v>
                </c:pt>
                <c:pt idx="3">
                  <c:v>390</c:v>
                </c:pt>
              </c:numCache>
            </c:numRef>
          </c:val>
        </c:ser>
        <c:ser>
          <c:idx val="3"/>
          <c:order val="3"/>
          <c:tx>
            <c:strRef>
              <c:f>'INN SFM, SFEU, kvote'!$A$24</c:f>
              <c:strCache>
                <c:ptCount val="1"/>
                <c:pt idx="0">
                  <c:v>Utveksling master</c:v>
                </c:pt>
              </c:strCache>
            </c:strRef>
          </c:tx>
          <c:invertIfNegative val="0"/>
          <c:cat>
            <c:strRef>
              <c:f>'INN SFM, SFEU, kvote'!$B$20:$E$20</c:f>
              <c:strCache>
                <c:ptCount val="4"/>
                <c:pt idx="0">
                  <c:v>2010 høst</c:v>
                </c:pt>
                <c:pt idx="1">
                  <c:v>2011 høst</c:v>
                </c:pt>
                <c:pt idx="2">
                  <c:v>2012 høst</c:v>
                </c:pt>
                <c:pt idx="3">
                  <c:v>2013 høst</c:v>
                </c:pt>
              </c:strCache>
            </c:strRef>
          </c:cat>
          <c:val>
            <c:numRef>
              <c:f>'INN SFM, SFEU, kvote'!$B$24:$E$24</c:f>
              <c:numCache>
                <c:formatCode>General</c:formatCode>
                <c:ptCount val="4"/>
                <c:pt idx="0">
                  <c:v>81</c:v>
                </c:pt>
                <c:pt idx="1">
                  <c:v>71</c:v>
                </c:pt>
                <c:pt idx="2">
                  <c:v>78</c:v>
                </c:pt>
                <c:pt idx="3">
                  <c:v>85</c:v>
                </c:pt>
              </c:numCache>
            </c:numRef>
          </c:val>
        </c:ser>
        <c:ser>
          <c:idx val="4"/>
          <c:order val="4"/>
          <c:tx>
            <c:strRef>
              <c:f>'INN SFM, SFEU, kvote'!$A$25</c:f>
              <c:strCache>
                <c:ptCount val="1"/>
                <c:pt idx="0">
                  <c:v>Enkeltemner master</c:v>
                </c:pt>
              </c:strCache>
            </c:strRef>
          </c:tx>
          <c:invertIfNegative val="0"/>
          <c:cat>
            <c:strRef>
              <c:f>'INN SFM, SFEU, kvote'!$B$20:$E$20</c:f>
              <c:strCache>
                <c:ptCount val="4"/>
                <c:pt idx="0">
                  <c:v>2010 høst</c:v>
                </c:pt>
                <c:pt idx="1">
                  <c:v>2011 høst</c:v>
                </c:pt>
                <c:pt idx="2">
                  <c:v>2012 høst</c:v>
                </c:pt>
                <c:pt idx="3">
                  <c:v>2013 høst</c:v>
                </c:pt>
              </c:strCache>
            </c:strRef>
          </c:cat>
          <c:val>
            <c:numRef>
              <c:f>'INN SFM, SFEU, kvote'!$B$25:$E$25</c:f>
              <c:numCache>
                <c:formatCode>General</c:formatCode>
                <c:ptCount val="4"/>
                <c:pt idx="0">
                  <c:v>54</c:v>
                </c:pt>
                <c:pt idx="1">
                  <c:v>61</c:v>
                </c:pt>
                <c:pt idx="2">
                  <c:v>85</c:v>
                </c:pt>
                <c:pt idx="3">
                  <c:v>103</c:v>
                </c:pt>
              </c:numCache>
            </c:numRef>
          </c:val>
        </c:ser>
        <c:ser>
          <c:idx val="5"/>
          <c:order val="5"/>
          <c:tx>
            <c:strRef>
              <c:f>'INN SFM, SFEU, kvote'!$A$26</c:f>
              <c:strCache>
                <c:ptCount val="1"/>
                <c:pt idx="0">
                  <c:v>UNIK</c:v>
                </c:pt>
              </c:strCache>
            </c:strRef>
          </c:tx>
          <c:invertIfNegative val="0"/>
          <c:cat>
            <c:strRef>
              <c:f>'INN SFM, SFEU, kvote'!$B$20:$E$20</c:f>
              <c:strCache>
                <c:ptCount val="4"/>
                <c:pt idx="0">
                  <c:v>2010 høst</c:v>
                </c:pt>
                <c:pt idx="1">
                  <c:v>2011 høst</c:v>
                </c:pt>
                <c:pt idx="2">
                  <c:v>2012 høst</c:v>
                </c:pt>
                <c:pt idx="3">
                  <c:v>2013 høst</c:v>
                </c:pt>
              </c:strCache>
            </c:strRef>
          </c:cat>
          <c:val>
            <c:numRef>
              <c:f>'INN SFM, SFEU, kvote'!$B$26:$E$26</c:f>
              <c:numCache>
                <c:formatCode>General</c:formatCode>
                <c:ptCount val="4"/>
                <c:pt idx="0">
                  <c:v>3</c:v>
                </c:pt>
                <c:pt idx="1">
                  <c:v>2</c:v>
                </c:pt>
                <c:pt idx="2">
                  <c:v>4</c:v>
                </c:pt>
                <c:pt idx="3">
                  <c:v>10</c:v>
                </c:pt>
              </c:numCache>
            </c:numRef>
          </c:val>
        </c:ser>
        <c:dLbls>
          <c:showLegendKey val="0"/>
          <c:showVal val="0"/>
          <c:showCatName val="0"/>
          <c:showSerName val="0"/>
          <c:showPercent val="0"/>
          <c:showBubbleSize val="0"/>
        </c:dLbls>
        <c:gapWidth val="150"/>
        <c:shape val="box"/>
        <c:axId val="135760128"/>
        <c:axId val="135766016"/>
        <c:axId val="0"/>
      </c:bar3DChart>
      <c:catAx>
        <c:axId val="135760128"/>
        <c:scaling>
          <c:orientation val="minMax"/>
        </c:scaling>
        <c:delete val="0"/>
        <c:axPos val="b"/>
        <c:majorTickMark val="out"/>
        <c:minorTickMark val="none"/>
        <c:tickLblPos val="nextTo"/>
        <c:crossAx val="135766016"/>
        <c:crosses val="autoZero"/>
        <c:auto val="1"/>
        <c:lblAlgn val="ctr"/>
        <c:lblOffset val="100"/>
        <c:noMultiLvlLbl val="0"/>
      </c:catAx>
      <c:valAx>
        <c:axId val="135766016"/>
        <c:scaling>
          <c:orientation val="minMax"/>
        </c:scaling>
        <c:delete val="0"/>
        <c:axPos val="l"/>
        <c:majorGridlines/>
        <c:numFmt formatCode="General" sourceLinked="1"/>
        <c:majorTickMark val="out"/>
        <c:minorTickMark val="none"/>
        <c:tickLblPos val="nextTo"/>
        <c:crossAx val="13576012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E780C-F672-4E38-864E-C98E207CA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8208</Words>
  <Characters>43507</Characters>
  <Application>Microsoft Office Word</Application>
  <DocSecurity>4</DocSecurity>
  <Lines>362</Lines>
  <Paragraphs>103</Paragraphs>
  <ScaleCrop>false</ScaleCrop>
  <HeadingPairs>
    <vt:vector size="2" baseType="variant">
      <vt:variant>
        <vt:lpstr>Title</vt:lpstr>
      </vt:variant>
      <vt:variant>
        <vt:i4>1</vt:i4>
      </vt:variant>
    </vt:vector>
  </HeadingPairs>
  <TitlesOfParts>
    <vt:vector size="1" baseType="lpstr">
      <vt:lpstr/>
    </vt:vector>
  </TitlesOfParts>
  <Company>University of Oslo</Company>
  <LinksUpToDate>false</LinksUpToDate>
  <CharactersWithSpaces>51612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Aaen-Stockdale</dc:creator>
  <cp:lastModifiedBy>Hanne Sølna</cp:lastModifiedBy>
  <cp:revision>2</cp:revision>
  <cp:lastPrinted>2014-06-06T11:14:00Z</cp:lastPrinted>
  <dcterms:created xsi:type="dcterms:W3CDTF">2014-09-18T10:18:00Z</dcterms:created>
  <dcterms:modified xsi:type="dcterms:W3CDTF">2014-09-18T10:18:00Z</dcterms:modified>
</cp:coreProperties>
</file>